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7.png" ContentType="image/png"/>
  <Override PartName="/word/media/rId74.png" ContentType="image/png"/>
  <Override PartName="/word/media/rId61.png" ContentType="image/png"/>
  <Override PartName="/word/media/rId78.png" ContentType="image/png"/>
  <Override PartName="/word/media/rId65.png" ContentType="image/png"/>
  <Override PartName="/word/media/rId82.png" ContentType="image/png"/>
  <Override PartName="/word/media/rId69.png" ContentType="image/png"/>
  <Override PartName="/word/media/rId86.png" ContentType="image/png"/>
  <Override PartName="/word/media/rId44.png" ContentType="image/png"/>
  <Override PartName="/word/media/rId40.png" ContentType="image/png"/>
  <Override PartName="/word/media/rId52.png" ContentType="image/png"/>
  <Override PartName="/word/media/rId48.png" ContentType="image/png"/>
  <Override PartName="/word/media/rId24.png" ContentType="image/png"/>
  <Override PartName="/word/media/rId28.png" ContentType="image/png"/>
  <Override PartName="/word/media/rId9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Services</w:t>
      </w:r>
      <w:r>
        <w:t xml:space="preserve"> </w:t>
      </w:r>
      <w:r>
        <w:t xml:space="preserve">trade</w:t>
      </w:r>
      <w:r>
        <w:t xml:space="preserve"> </w:t>
      </w:r>
      <w:r>
        <w:t xml:space="preserve">and</w:t>
      </w:r>
      <w:r>
        <w:t xml:space="preserve"> </w:t>
      </w:r>
      <w:r>
        <w:t xml:space="preserve">the</w:t>
      </w:r>
      <w:r>
        <w:t xml:space="preserve"> </w:t>
      </w:r>
      <w:r>
        <w:t xml:space="preserve">Indonesian</w:t>
      </w:r>
      <w:r>
        <w:t xml:space="preserve"> </w:t>
      </w:r>
      <w:r>
        <w:t xml:space="preserve">third</w:t>
      </w:r>
      <w:r>
        <w:t xml:space="preserve"> </w:t>
      </w:r>
      <w:r>
        <w:t xml:space="preserve">unbundling</w:t>
      </w:r>
    </w:p>
    <w:p>
      <w:pPr>
        <w:pStyle w:val="Author"/>
      </w:pPr>
      <w:r>
        <w:t xml:space="preserve">Krisna</w:t>
      </w:r>
      <w:r>
        <w:t xml:space="preserve"> </w:t>
      </w:r>
      <w:r>
        <w:t xml:space="preserve">Gupta</w:t>
      </w:r>
    </w:p>
    <w:p>
      <w:pPr>
        <w:pStyle w:val="Author"/>
      </w:pPr>
      <w:r>
        <w:t xml:space="preserve">Dhany</w:t>
      </w:r>
      <w:r>
        <w:t xml:space="preserve"> </w:t>
      </w:r>
      <w:r>
        <w:t xml:space="preserve">S.</w:t>
      </w:r>
      <w:r>
        <w:t xml:space="preserve"> </w:t>
      </w:r>
      <w:r>
        <w:t xml:space="preserve">Ratana</w:t>
      </w:r>
    </w:p>
    <w:p>
      <w:pPr>
        <w:pStyle w:val="Date"/>
      </w:pPr>
      <w:r>
        <w:t xml:space="preserve">July</w:t>
      </w:r>
      <w:r>
        <w:t xml:space="preserve"> </w:t>
      </w:r>
      <w:r>
        <w:t xml:space="preserve">17,</w:t>
      </w:r>
      <w:r>
        <w:t xml:space="preserve"> </w:t>
      </w:r>
      <w:r>
        <w:t xml:space="preserve">2024</w:t>
      </w:r>
    </w:p>
    <w:p>
      <w:pPr>
        <w:pStyle w:val="AbstractTitle"/>
      </w:pPr>
      <w:r>
        <w:t xml:space="preserve">abstract</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C:\Users\imedk\AppData\Local\Programs\Quarto\share\formats\docx\warning.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This document is a work in progress. Please do not cite. Comments are welcomed. For replication see</w:t>
            </w:r>
            <w:r>
              <w:t xml:space="preserve"> </w:t>
            </w:r>
            <w:hyperlink r:id="rId23">
              <w:r>
                <w:rPr>
                  <w:rStyle w:val="Hyperlink"/>
                </w:rPr>
                <w:t xml:space="preserve">here</w:t>
              </w:r>
            </w:hyperlink>
          </w:p>
        </w:tc>
      </w:tr>
    </w:tbl>
    <w:bookmarkStart w:id="32" w:name="introduction"/>
    <w:p>
      <w:pPr>
        <w:pStyle w:val="Heading2"/>
      </w:pPr>
      <w:r>
        <w:t xml:space="preserve">Introduction</w:t>
      </w:r>
    </w:p>
    <w:p>
      <w:pPr>
        <w:pStyle w:val="FirstParagraph"/>
      </w:pPr>
      <w:r>
        <w:t xml:space="preserve">Trade in services is growing in importance all over the world, Indonesia included.</w:t>
      </w:r>
      <w:r>
        <w:t xml:space="preserve"> </w:t>
      </w:r>
      <w:hyperlink w:anchor="fig-1">
        <w:r>
          <w:rPr>
            <w:rStyle w:val="Hyperlink"/>
          </w:rPr>
          <w:t xml:space="preserve">Figure 1</w:t>
        </w:r>
      </w:hyperlink>
      <w:r>
        <w:t xml:space="preserve"> </w:t>
      </w:r>
      <w:r>
        <w:t xml:space="preserve">shows Indonesia’s export and import in services taken from Indonesian Statistic Bureau compiled by the Central Bank</w:t>
      </w:r>
      <w:r>
        <w:t xml:space="preserve"> </w:t>
      </w:r>
      <w:r>
        <w:t xml:space="preserve">(Bank Indonesia, n.d.)</w:t>
      </w:r>
      <w:r>
        <w:t xml:space="preserve">. Indonesia’s services trade is growing steadily from 2000, only to be interrupted by the COVID-19 pandemic. Export service is dominated by tourism, while import services is dominated by logistics. While the trend is increasing, it is evident that Indonesia’s import of services has always been dominating exports.</w:t>
      </w:r>
    </w:p>
    <w:tbl>
      <w:tblPr>
        <w:tblStyle w:val="Table"/>
        <w:tblW w:type="pct" w:w="5000"/>
        <w:tblLook w:firstRow="0" w:lastRow="0" w:firstColumn="0" w:lastColumn="0" w:noHBand="0" w:noVBand="0" w:val="0000"/>
        <w:jc w:val="start"/>
        <w:tblLayout w:type="fixed"/>
      </w:tblPr>
      <w:tblGrid>
        <w:gridCol w:w="7920"/>
      </w:tblGrid>
      <w:tr>
        <w:tc>
          <w:tcPr/>
          <w:bookmarkStart w:id="27" w:name="fig-1"/>
          <w:p>
            <w:pPr>
              <w:pStyle w:val="Compact"/>
              <w:jc w:val="center"/>
            </w:pPr>
            <w:r>
              <w:drawing>
                <wp:inline>
                  <wp:extent cx="4620126" cy="3696101"/>
                  <wp:effectExtent b="0" l="0" r="0" t="0"/>
                  <wp:docPr descr="" title="" id="25" name="Picture"/>
                  <a:graphic>
                    <a:graphicData uri="http://schemas.openxmlformats.org/drawingml/2006/picture">
                      <pic:pic>
                        <pic:nvPicPr>
                          <pic:cNvPr descr="services_document_files/figure-docx/fig-1-1.png" id="26" name="Picture"/>
                          <pic:cNvPicPr>
                            <a:picLocks noChangeArrowheads="1" noChangeAspect="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Indonesian trade in services</w:t>
            </w:r>
          </w:p>
          <w:bookmarkEnd w:id="27"/>
        </w:tc>
      </w:tr>
    </w:tbl>
    <w:p>
      <w:pPr>
        <w:pStyle w:val="BodyText"/>
      </w:pPr>
      <w:r>
        <w:t xml:space="preserve">Indonesian government often concerned with deficit trade, but trade in services has often neglected in the discussion. Indeed, trade balance in goods are often far outweight the deficit in its services counterpart, as made apparent by</w:t>
      </w:r>
      <w:r>
        <w:t xml:space="preserve"> </w:t>
      </w:r>
      <w:hyperlink w:anchor="fig-2">
        <w:r>
          <w:rPr>
            <w:rStyle w:val="Hyperlink"/>
          </w:rPr>
          <w:t xml:space="preserve">Figure 2</w:t>
        </w:r>
      </w:hyperlink>
      <w:r>
        <w:t xml:space="preserve">. However, while Indonesia’s trade balance fluctuates along with commodity prices and global demand in general, services trade deficit is consistent. Additionally, Indonesia’s reliance on services import went up right after COVID-19 and seems to stabilize in a higher than pre-pandemic level. With the increasing role of services in the global trade, the deficit looks to be even more important in Indonesia’s current account in the future.</w:t>
      </w:r>
    </w:p>
    <w:tbl>
      <w:tblPr>
        <w:tblStyle w:val="Table"/>
        <w:tblW w:type="pct" w:w="5000"/>
        <w:tblLook w:firstRow="0" w:lastRow="0" w:firstColumn="0" w:lastColumn="0" w:noHBand="0" w:noVBand="0" w:val="0000"/>
        <w:jc w:val="start"/>
        <w:tblLayout w:type="fixed"/>
      </w:tblPr>
      <w:tblGrid>
        <w:gridCol w:w="7920"/>
      </w:tblGrid>
      <w:tr>
        <w:tc>
          <w:tcPr/>
          <w:bookmarkStart w:id="31" w:name="fig-2"/>
          <w:p>
            <w:pPr>
              <w:pStyle w:val="Compact"/>
              <w:jc w:val="center"/>
            </w:pPr>
            <w:r>
              <w:drawing>
                <wp:inline>
                  <wp:extent cx="4620126" cy="3696101"/>
                  <wp:effectExtent b="0" l="0" r="0" t="0"/>
                  <wp:docPr descr="" title="" id="29" name="Picture"/>
                  <a:graphic>
                    <a:graphicData uri="http://schemas.openxmlformats.org/drawingml/2006/picture">
                      <pic:pic>
                        <pic:nvPicPr>
                          <pic:cNvPr descr="services_document_files/figure-docx/fig-2-1.png" id="30" name="Picture"/>
                          <pic:cNvPicPr>
                            <a:picLocks noChangeArrowheads="1" noChangeAspect="1"/>
                          </pic:cNvPicPr>
                        </pic:nvPicPr>
                        <pic:blipFill>
                          <a:blip r:embed="rId2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Net trade in goods and services of Indonesia, 200</w:t>
            </w:r>
          </w:p>
          <w:bookmarkEnd w:id="31"/>
        </w:tc>
      </w:tr>
    </w:tbl>
    <w:p>
      <w:pPr>
        <w:pStyle w:val="BodyText"/>
      </w:pPr>
      <w:r>
        <w:t xml:space="preserve">The importance of trade in services goes beyond current account. With the ever decreasing cost of trade, separating a value up to tasks level (i.e., the third unbundling) is on the horizon</w:t>
      </w:r>
      <w:r>
        <w:t xml:space="preserve"> </w:t>
      </w:r>
      <w:r>
        <w:t xml:space="preserve">(Baldwin 2011; Kimura 2018)</w:t>
      </w:r>
      <w:r>
        <w:t xml:space="preserve">. Feedback mechanism from the third unbundling may benefits domestic manufacturing</w:t>
      </w:r>
      <w:r>
        <w:t xml:space="preserve"> </w:t>
      </w:r>
      <w:r>
        <w:t xml:space="preserve">(Kimura 2018)</w:t>
      </w:r>
      <w:r>
        <w:t xml:space="preserve">. Therefore, services trade may be important in the next stage of globalization.</w:t>
      </w:r>
    </w:p>
    <w:p>
      <w:pPr>
        <w:pStyle w:val="BodyText"/>
      </w:pPr>
      <w:r>
        <w:t xml:space="preserve">This chapter have at least two objectives. First, we explores the general trade in services in Indonesia. We use BaTIS data</w:t>
      </w:r>
      <w:r>
        <w:t xml:space="preserve"> </w:t>
      </w:r>
      <w:r>
        <w:t xml:space="preserve">(WTO/OECD 2022; Liberatore and Wettstein 2021)</w:t>
      </w:r>
      <w:r>
        <w:t xml:space="preserve"> </w:t>
      </w:r>
      <w:r>
        <w:t xml:space="preserve">to show Indonesia’s most important services trade and country partners for both export and import. Trade in services has been increasing in importance, especially in the rise of deep trade agreements involving integration in trade in services as well as goods</w:t>
      </w:r>
      <w:r>
        <w:t xml:space="preserve"> </w:t>
      </w:r>
      <w:r>
        <w:t xml:space="preserve">(Patunru 2023)</w:t>
      </w:r>
      <w:r>
        <w:t xml:space="preserve">. Thus, trade in services’ profile of Indonesia will be most useful to Indonesian academics and policy makers.</w:t>
      </w:r>
    </w:p>
    <w:p>
      <w:pPr>
        <w:pStyle w:val="BodyText"/>
      </w:pPr>
      <w:r>
        <w:t xml:space="preserve">Secondly, we investigate the potency of the feedback mechanism from the third unbundling a la</w:t>
      </w:r>
      <w:r>
        <w:t xml:space="preserve"> </w:t>
      </w:r>
      <w:r>
        <w:t xml:space="preserve">Kimura (2018)</w:t>
      </w:r>
      <w:r>
        <w:t xml:space="preserve">. That is, we look at how much imported services are embedded in Indonesia’s manufacturing sectors aggregated into ICIO classifications. We do this in two ways. First, we use ARDL</w:t>
      </w:r>
      <w:r>
        <w:t xml:space="preserve"> </w:t>
      </w:r>
      <w:r>
        <w:t xml:space="preserve">(Pesaran and Smith 1995)</w:t>
      </w:r>
      <w:r>
        <w:t xml:space="preserve"> </w:t>
      </w:r>
      <w:r>
        <w:t xml:space="preserve">to see whether services imports cointegrate with manufacturing exports and GDP. Secondly, we utilize Inter-Country Input-Output (ICIO) data from OECD</w:t>
      </w:r>
      <w:r>
        <w:t xml:space="preserve"> </w:t>
      </w:r>
      <w:r>
        <w:t xml:space="preserve">(OECD 2023)</w:t>
      </w:r>
      <w:r>
        <w:t xml:space="preserve"> </w:t>
      </w:r>
      <w:r>
        <w:t xml:space="preserve">to look at the importance of services for Indonesian manufacturing.</w:t>
      </w:r>
    </w:p>
    <w:p>
      <w:pPr>
        <w:pStyle w:val="BodyText"/>
      </w:pPr>
      <w:r>
        <w:t xml:space="preserve">We arrange this chapter in the following. Section 2 discusses the development in research concerning services trade and its development in Indonesia, section 3 discusses about data and methods, section 4 explores Indonesian services trade as well as some third unbundling results, and section 5 concludes.</w:t>
      </w:r>
    </w:p>
    <w:bookmarkEnd w:id="32"/>
    <w:bookmarkStart w:id="33" w:name="review-on-services-trade"/>
    <w:p>
      <w:pPr>
        <w:pStyle w:val="Heading2"/>
      </w:pPr>
      <w:r>
        <w:t xml:space="preserve">Review on services trade</w:t>
      </w:r>
    </w:p>
    <w:p>
      <w:pPr>
        <w:pStyle w:val="FirstParagraph"/>
      </w:pPr>
      <w:r>
        <w:t xml:space="preserve">The concept of trade has been evolving from the the way goods (and later services) value chain can be broken.</w:t>
      </w:r>
      <w:r>
        <w:t xml:space="preserve"> </w:t>
      </w:r>
      <w:r>
        <w:t xml:space="preserve">Baldwin (2016)</w:t>
      </w:r>
      <w:r>
        <w:t xml:space="preserve"> </w:t>
      </w:r>
      <w:r>
        <w:t xml:space="preserve">coined the term</w:t>
      </w:r>
      <w:r>
        <w:t xml:space="preserve"> </w:t>
      </w:r>
      <w:r>
        <w:t xml:space="preserve">“</w:t>
      </w:r>
      <w:r>
        <w:t xml:space="preserve">unbundling</w:t>
      </w:r>
      <w:r>
        <w:t xml:space="preserve">”</w:t>
      </w:r>
      <w:r>
        <w:t xml:space="preserve"> </w:t>
      </w:r>
      <w:r>
        <w:t xml:space="preserve">to express the variety of trade can be done by how much part of the supply chain of production can be traded across border. T</w:t>
      </w:r>
    </w:p>
    <w:p>
      <w:pPr>
        <w:pStyle w:val="BodyText"/>
      </w:pPr>
      <w:r>
        <w:t xml:space="preserve">Kimura (2018)</w:t>
      </w:r>
      <w:r>
        <w:t xml:space="preserve"> </w:t>
      </w:r>
      <w:r>
        <w:t xml:space="preserve">use this concept Kimura took the concept of</w:t>
      </w:r>
      <w:r>
        <w:t xml:space="preserve"> </w:t>
      </w:r>
      <w:r>
        <w:t xml:space="preserve">“</w:t>
      </w:r>
      <w:r>
        <w:t xml:space="preserve">unbundling</w:t>
      </w:r>
      <w:r>
        <w:t xml:space="preserve">”</w:t>
      </w:r>
      <w:r>
        <w:t xml:space="preserve"> </w:t>
      </w:r>
      <w:r>
        <w:t xml:space="preserve">which was proposed by Baldwin (2016). Baldwin (2016) posits that when transportation is costly, few products could be profitably shipped to any other region except the shortest distance and thus made production were forcibly bundled with consumption. After technological breakthrough in transportation such as steamships and railways, products can finally be sold across national borders, and this is the first unbundling (Kimura 2018).</w:t>
      </w:r>
    </w:p>
    <w:p>
      <w:pPr>
        <w:pStyle w:val="BodyText"/>
      </w:pPr>
      <w:r>
        <w:t xml:space="preserve">The second unbundling no longer involve goods, but ideas, facilitating joint production among countries in terms of production processes or tasks leading to massive international trade in parts and components. Lastly, the third unbundling has emerged, and the object of the third unbundling is</w:t>
      </w:r>
      <w:r>
        <w:t xml:space="preserve"> </w:t>
      </w:r>
      <w:r>
        <w:t xml:space="preserve">“</w:t>
      </w:r>
      <w:r>
        <w:t xml:space="preserve">tasks</w:t>
      </w:r>
      <w:r>
        <w:t xml:space="preserve">”</w:t>
      </w:r>
      <w:r>
        <w:t xml:space="preserve">. These</w:t>
      </w:r>
      <w:r>
        <w:t xml:space="preserve"> </w:t>
      </w:r>
      <w:r>
        <w:t xml:space="preserve">“</w:t>
      </w:r>
      <w:r>
        <w:t xml:space="preserve">tasks</w:t>
      </w:r>
      <w:r>
        <w:t xml:space="preserve">”</w:t>
      </w:r>
      <w:r>
        <w:t xml:space="preserve"> </w:t>
      </w:r>
      <w:r>
        <w:t xml:space="preserve">can be unbundled and handled by persons in different locations.</w:t>
      </w:r>
    </w:p>
    <w:p>
      <w:pPr>
        <w:pStyle w:val="BodyText"/>
      </w:pPr>
      <w:r>
        <w:t xml:space="preserve">The first unbundling has unequivocally accelerated international trade throughout the world. People nowadays are consuming goods which in their country is costly or have no resource to produce. While not all the ASEAN Countries have participated in the second unbundling, they can however can develop strategies to also embrace the third unbundling.</w:t>
      </w:r>
    </w:p>
    <w:p>
      <w:pPr>
        <w:pStyle w:val="BodyText"/>
      </w:pPr>
      <w:r>
        <w:t xml:space="preserve">Now with trade cost is even lower, unbundling the service sector become feasible. Some firms allowing some firms to leap ahead</w:t>
      </w:r>
      <w:r>
        <w:t xml:space="preserve"> </w:t>
      </w:r>
      <w:r>
        <w:t xml:space="preserve">(Kimura 2018)</w:t>
      </w:r>
      <w:r>
        <w:t xml:space="preserve">. Trade in services can be either source from abroad, or exported to foreign firms. Service sectors will accelerate both the second unbundling or third unbundling, allowing firms that utilize it to leap ahead of the competition.</w:t>
      </w:r>
    </w:p>
    <w:p>
      <w:pPr>
        <w:pStyle w:val="BodyText"/>
      </w:pPr>
      <w:r>
        <w:t xml:space="preserve">Service sector can provide an important advantage for many firms, especially manufacturing ones. It can brigde information gap on the market, business customs and regulations in other countries, especially for new firms entering export market</w:t>
      </w:r>
      <w:r>
        <w:t xml:space="preserve"> </w:t>
      </w:r>
      <w:r>
        <w:t xml:space="preserve">(Lodefalk 2014)</w:t>
      </w:r>
      <w:r>
        <w:t xml:space="preserve">. As has been shown by</w:t>
      </w:r>
      <w:r>
        <w:t xml:space="preserve"> </w:t>
      </w:r>
      <w:r>
        <w:t xml:space="preserve">(Melitz 2003)</w:t>
      </w:r>
      <w:r>
        <w:t xml:space="preserve">, a non-trivial trade cost limits firm who can enter the export market. A reduction in trade cost in services would help lower the productivity threshold for firms, enabling more to enter the export market. This entrance would then induce learning-by-doing for these low productivity firms.</w:t>
      </w:r>
    </w:p>
    <w:p>
      <w:pPr>
        <w:pStyle w:val="BodyText"/>
      </w:pPr>
      <w:r>
        <w:t xml:space="preserve">Lodefalk (2014)</w:t>
      </w:r>
      <w:r>
        <w:t xml:space="preserve"> </w:t>
      </w:r>
      <w:r>
        <w:t xml:space="preserve">study Sweeden’s manufacturing firm in 2001-2007. They conclude that firms with higher services embeded in its final products increases its intensity of export. In the Indonesian context,</w:t>
      </w:r>
      <w:r>
        <w:t xml:space="preserve"> </w:t>
      </w:r>
      <w:r>
        <w:t xml:space="preserve">Hing and Thangavelu (2023)</w:t>
      </w:r>
      <w:r>
        <w:t xml:space="preserve"> </w:t>
      </w:r>
      <w:r>
        <w:t xml:space="preserve">find that 10 per cent increase in service intensity of a firm increase its productivity by 7 to 8 per cent. The two papers use firms level data with information on what services each firm purchase. Information on whether the service is imported, however, is lacking.</w:t>
      </w:r>
    </w:p>
    <w:p>
      <w:pPr>
        <w:pStyle w:val="BodyText"/>
      </w:pPr>
      <w:r>
        <w:t xml:space="preserve">Lower services cost can reduce firms’ cost of service outsourcing. In the Indonesian context,</w:t>
      </w:r>
      <w:r>
        <w:t xml:space="preserve"> </w:t>
      </w:r>
      <w:r>
        <w:t xml:space="preserve">Syahputri and Gupta (2024)</w:t>
      </w:r>
      <w:r>
        <w:t xml:space="preserve"> </w:t>
      </w:r>
      <w:r>
        <w:t xml:space="preserve">uses gravity in service trade approach</w:t>
      </w:r>
      <w:r>
        <w:t xml:space="preserve"> </w:t>
      </w:r>
      <w:r>
        <w:t xml:space="preserve">(Kimura 2018)</w:t>
      </w:r>
      <w:r>
        <w:t xml:space="preserve"> </w:t>
      </w:r>
      <w:r>
        <w:t xml:space="preserve">to see whether IJEPA helps with improving Indonesia’s trade in services. Utilizing services data from BaTIS,</w:t>
      </w:r>
      <w:r>
        <w:t xml:space="preserve"> </w:t>
      </w:r>
      <w:r>
        <w:t xml:space="preserve">Syahputri and Gupta (2024)</w:t>
      </w:r>
      <w:r>
        <w:t xml:space="preserve"> </w:t>
      </w:r>
      <w:r>
        <w:t xml:space="preserve">find that IJEPA, one of the first comprehensive economic agreement in Indonesia, does not increase service trade between the two countries.</w:t>
      </w:r>
    </w:p>
    <w:p>
      <w:pPr>
        <w:pStyle w:val="BodyText"/>
      </w:pPr>
      <w:r>
        <w:t xml:space="preserve">Indonesia does not seem to use services a lot. Services account for only around 2% of Indonesian manufacturing firms’ output</w:t>
      </w:r>
      <w:r>
        <w:t xml:space="preserve"> </w:t>
      </w:r>
      <w:r>
        <w:t xml:space="preserve">(Hing and Thangavelu 2023)</w:t>
      </w:r>
      <w:r>
        <w:t xml:space="preserve">, Indonesia’s trade in services is also falls short. Services trade requires easing in four different modes. Therefore, regulations typically rarely discussed in a trade agreement such as investment impediment, movement of natural persons and technical barrier all makes service trade much harder</w:t>
      </w:r>
      <w:r>
        <w:t xml:space="preserve"> </w:t>
      </w:r>
      <w:r>
        <w:t xml:space="preserve">(Syahputri and Gupta 2024; Magiera 2011)</w:t>
      </w:r>
      <w:r>
        <w:t xml:space="preserve">.</w:t>
      </w:r>
    </w:p>
    <w:p>
      <w:pPr>
        <w:pStyle w:val="BodyText"/>
      </w:pPr>
      <w:r>
        <w:t xml:space="preserve">With</w:t>
      </w:r>
      <w:r>
        <w:t xml:space="preserve"> </w:t>
      </w:r>
      <w:r>
        <w:rPr>
          <w:iCs/>
          <w:i/>
        </w:rPr>
        <w:t xml:space="preserve">hilirisasi</w:t>
      </w:r>
      <w:r>
        <w:t xml:space="preserve"> </w:t>
      </w:r>
      <w:r>
        <w:t xml:space="preserve">or downstreaming policy, tendency to reduce import is more apparent. This policy’s objective was to increase the added value of the manufacturing sector by reducing foreign content in the domestic value chain. Local Content Requirements (LCR) put emphasize on domestic value added which means making production in the same area/country, running counter to joining internationally oriented global value chains/GVCs</w:t>
      </w:r>
      <w:r>
        <w:t xml:space="preserve"> </w:t>
      </w:r>
      <w:r>
        <w:t xml:space="preserve">(Athukorala and Patunru 2023)</w:t>
      </w:r>
      <w:r>
        <w:t xml:space="preserve">. GVCs involve dividing up production process across borders, equivalent of the second unbundling. Thus, hilirisasi and LCR policies ended up bundling up production processes that could be divvied up among countries. This meant undoing the second unbundling, let alone encouraging the third unbundling.</w:t>
      </w:r>
    </w:p>
    <w:bookmarkEnd w:id="33"/>
    <w:bookmarkStart w:id="39" w:name="data-and-method"/>
    <w:p>
      <w:pPr>
        <w:pStyle w:val="Heading2"/>
      </w:pPr>
      <w:r>
        <w:t xml:space="preserve">Data and Method</w:t>
      </w:r>
    </w:p>
    <w:p>
      <w:pPr>
        <w:pStyle w:val="FirstParagraph"/>
      </w:pPr>
      <w:r>
        <w:t xml:space="preserve">There are two main dataset used in this chapter. Namely, Balanced Trade in Services (BaTIS) and the OECD Inter-Country Input-Output (ICIO) dataset.</w:t>
      </w:r>
    </w:p>
    <w:p>
      <w:pPr>
        <w:pStyle w:val="BodyText"/>
      </w:pPr>
      <w:r>
        <w:t xml:space="preserve">The BaTIS database was first launched in 2017 by World Trade organization (WTO) and Organization of Economic Cooperation and Development (OECD) in tandem</w:t>
      </w:r>
      <w:r>
        <w:t xml:space="preserve"> </w:t>
      </w:r>
      <w:r>
        <w:t xml:space="preserve">(Liberatore and Wettstein 2021)</w:t>
      </w:r>
      <w:r>
        <w:t xml:space="preserve">. Unlike trade in goods, trade in services are harder to track than trade in goods amid gap in data collection by various countries. BaTIS collect both ways from pairs of trading partners, reconcile difference between reporting countries’ trade. BaTIS is also used to build Trade in Value Added (TiVA) database and the ICIO database. BaTIS follows EBOPS 2010 sector classification</w:t>
      </w:r>
      <w:r>
        <w:t xml:space="preserve"> </w:t>
      </w:r>
      <w:r>
        <w:t xml:space="preserve">(Liberatore et al. 2021)</w:t>
      </w:r>
      <w:r>
        <w:t xml:space="preserve"> </w:t>
      </w:r>
      <w:r>
        <w:t xml:space="preserve">which can be observed in</w:t>
      </w:r>
      <w:r>
        <w:t xml:space="preserve"> </w:t>
      </w:r>
      <w:hyperlink w:anchor="tbl-1">
        <w:r>
          <w:rPr>
            <w:rStyle w:val="Hyperlink"/>
          </w:rPr>
          <w:t xml:space="preserve">Table 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4" w:name="tbl-1"/>
          <w:p>
            <w:pPr>
              <w:jc w:val="center"/>
            </w:pPr>
            <w:pPr>
              <w:jc w:val="start"/>
              <w:spacing w:before="200"/>
              <w:pStyle w:val="ImageCaption"/>
            </w:pPr>
            <w:r>
              <w:t xml:space="preserve">Table 1: Services classification in BaTIS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jc w:val="center"/>
                  </w:pPr>
                  <w:r>
                    <w:t xml:space="preserve">Code</w:t>
                  </w:r>
                </w:p>
              </w:tc>
              <w:tc>
                <w:tcPr/>
                <w:p>
                  <w:pPr>
                    <w:pStyle w:val="Compact"/>
                    <w:jc w:val="left"/>
                    <w:jc w:val="center"/>
                  </w:pPr>
                  <w:r>
                    <w:t xml:space="preserve">Category description</w:t>
                  </w:r>
                </w:p>
              </w:tc>
            </w:tr>
            <w:tr>
              <w:tc>
                <w:tcPr/>
                <w:p>
                  <w:pPr>
                    <w:pStyle w:val="Compact"/>
                    <w:jc w:val="left"/>
                    <w:jc w:val="center"/>
                  </w:pPr>
                  <w:r>
                    <w:t xml:space="preserve">SA</w:t>
                  </w:r>
                </w:p>
              </w:tc>
              <w:tc>
                <w:tcPr/>
                <w:p>
                  <w:pPr>
                    <w:pStyle w:val="Compact"/>
                    <w:jc w:val="left"/>
                    <w:jc w:val="center"/>
                  </w:pPr>
                  <w:r>
                    <w:t xml:space="preserve">Manufacturing services on physical inputs owned by others</w:t>
                  </w:r>
                </w:p>
              </w:tc>
            </w:tr>
            <w:tr>
              <w:tc>
                <w:tcPr/>
                <w:p>
                  <w:pPr>
                    <w:pStyle w:val="Compact"/>
                    <w:jc w:val="left"/>
                    <w:jc w:val="center"/>
                  </w:pPr>
                  <w:r>
                    <w:t xml:space="preserve">SB</w:t>
                  </w:r>
                </w:p>
              </w:tc>
              <w:tc>
                <w:tcPr/>
                <w:p>
                  <w:pPr>
                    <w:pStyle w:val="Compact"/>
                    <w:jc w:val="left"/>
                    <w:jc w:val="center"/>
                  </w:pPr>
                  <w:r>
                    <w:t xml:space="preserve">Maintenance and repair services n.i.e.</w:t>
                  </w:r>
                </w:p>
              </w:tc>
            </w:tr>
            <w:tr>
              <w:tc>
                <w:tcPr/>
                <w:p>
                  <w:pPr>
                    <w:pStyle w:val="Compact"/>
                    <w:jc w:val="left"/>
                    <w:jc w:val="center"/>
                  </w:pPr>
                  <w:r>
                    <w:t xml:space="preserve">SC</w:t>
                  </w:r>
                </w:p>
              </w:tc>
              <w:tc>
                <w:tcPr/>
                <w:p>
                  <w:pPr>
                    <w:pStyle w:val="Compact"/>
                    <w:jc w:val="left"/>
                    <w:jc w:val="center"/>
                  </w:pPr>
                  <w:r>
                    <w:t xml:space="preserve">Transport</w:t>
                  </w:r>
                </w:p>
              </w:tc>
            </w:tr>
            <w:tr>
              <w:tc>
                <w:tcPr/>
                <w:p>
                  <w:pPr>
                    <w:pStyle w:val="Compact"/>
                    <w:jc w:val="left"/>
                    <w:jc w:val="center"/>
                  </w:pPr>
                  <w:r>
                    <w:t xml:space="preserve">SD</w:t>
                  </w:r>
                </w:p>
              </w:tc>
              <w:tc>
                <w:tcPr/>
                <w:p>
                  <w:pPr>
                    <w:pStyle w:val="Compact"/>
                    <w:jc w:val="left"/>
                    <w:jc w:val="center"/>
                  </w:pPr>
                  <w:r>
                    <w:t xml:space="preserve">Travel</w:t>
                  </w:r>
                </w:p>
              </w:tc>
            </w:tr>
            <w:tr>
              <w:tc>
                <w:tcPr/>
                <w:p>
                  <w:pPr>
                    <w:pStyle w:val="Compact"/>
                    <w:jc w:val="left"/>
                    <w:jc w:val="center"/>
                  </w:pPr>
                  <w:r>
                    <w:t xml:space="preserve">SE</w:t>
                  </w:r>
                </w:p>
              </w:tc>
              <w:tc>
                <w:tcPr/>
                <w:p>
                  <w:pPr>
                    <w:pStyle w:val="Compact"/>
                    <w:jc w:val="left"/>
                    <w:jc w:val="center"/>
                  </w:pPr>
                  <w:r>
                    <w:t xml:space="preserve">Construction</w:t>
                  </w:r>
                </w:p>
              </w:tc>
            </w:tr>
            <w:tr>
              <w:tc>
                <w:tcPr/>
                <w:p>
                  <w:pPr>
                    <w:pStyle w:val="Compact"/>
                    <w:jc w:val="left"/>
                    <w:jc w:val="center"/>
                  </w:pPr>
                  <w:r>
                    <w:t xml:space="preserve">SF</w:t>
                  </w:r>
                </w:p>
              </w:tc>
              <w:tc>
                <w:tcPr/>
                <w:p>
                  <w:pPr>
                    <w:pStyle w:val="Compact"/>
                    <w:jc w:val="left"/>
                    <w:jc w:val="center"/>
                  </w:pPr>
                  <w:r>
                    <w:t xml:space="preserve">Insurance and pension services</w:t>
                  </w:r>
                </w:p>
              </w:tc>
            </w:tr>
            <w:tr>
              <w:tc>
                <w:tcPr/>
                <w:p>
                  <w:pPr>
                    <w:pStyle w:val="Compact"/>
                    <w:jc w:val="left"/>
                    <w:jc w:val="center"/>
                  </w:pPr>
                  <w:r>
                    <w:t xml:space="preserve">SG</w:t>
                  </w:r>
                </w:p>
              </w:tc>
              <w:tc>
                <w:tcPr/>
                <w:p>
                  <w:pPr>
                    <w:pStyle w:val="Compact"/>
                    <w:jc w:val="left"/>
                    <w:jc w:val="center"/>
                  </w:pPr>
                  <w:r>
                    <w:t xml:space="preserve">Financial services</w:t>
                  </w:r>
                </w:p>
              </w:tc>
            </w:tr>
            <w:tr>
              <w:tc>
                <w:tcPr/>
                <w:p>
                  <w:pPr>
                    <w:pStyle w:val="Compact"/>
                    <w:jc w:val="left"/>
                    <w:jc w:val="center"/>
                  </w:pPr>
                  <w:r>
                    <w:t xml:space="preserve">SH</w:t>
                  </w:r>
                </w:p>
              </w:tc>
              <w:tc>
                <w:tcPr/>
                <w:p>
                  <w:pPr>
                    <w:pStyle w:val="Compact"/>
                    <w:jc w:val="left"/>
                    <w:jc w:val="center"/>
                  </w:pPr>
                  <w:r>
                    <w:t xml:space="preserve">Charges for the use of intellectual property n.i.e.</w:t>
                  </w:r>
                </w:p>
              </w:tc>
            </w:tr>
            <w:tr>
              <w:tc>
                <w:tcPr/>
                <w:p>
                  <w:pPr>
                    <w:pStyle w:val="Compact"/>
                    <w:jc w:val="left"/>
                    <w:jc w:val="center"/>
                  </w:pPr>
                  <w:r>
                    <w:t xml:space="preserve">SI</w:t>
                  </w:r>
                </w:p>
              </w:tc>
              <w:tc>
                <w:tcPr/>
                <w:p>
                  <w:pPr>
                    <w:pStyle w:val="Compact"/>
                    <w:jc w:val="left"/>
                    <w:jc w:val="center"/>
                  </w:pPr>
                  <w:r>
                    <w:t xml:space="preserve">Telecommunications, computer, and information services</w:t>
                  </w:r>
                </w:p>
              </w:tc>
            </w:tr>
            <w:tr>
              <w:tc>
                <w:tcPr/>
                <w:p>
                  <w:pPr>
                    <w:pStyle w:val="Compact"/>
                    <w:jc w:val="left"/>
                    <w:jc w:val="center"/>
                  </w:pPr>
                  <w:r>
                    <w:t xml:space="preserve">SJ</w:t>
                  </w:r>
                </w:p>
              </w:tc>
              <w:tc>
                <w:tcPr/>
                <w:p>
                  <w:pPr>
                    <w:pStyle w:val="Compact"/>
                    <w:jc w:val="left"/>
                    <w:jc w:val="center"/>
                  </w:pPr>
                  <w:r>
                    <w:t xml:space="preserve">Other business services</w:t>
                  </w:r>
                </w:p>
              </w:tc>
            </w:tr>
            <w:tr>
              <w:tc>
                <w:tcPr/>
                <w:p>
                  <w:pPr>
                    <w:pStyle w:val="Compact"/>
                    <w:jc w:val="left"/>
                    <w:jc w:val="center"/>
                  </w:pPr>
                  <w:r>
                    <w:t xml:space="preserve">SK</w:t>
                  </w:r>
                </w:p>
              </w:tc>
              <w:tc>
                <w:tcPr/>
                <w:p>
                  <w:pPr>
                    <w:pStyle w:val="Compact"/>
                    <w:jc w:val="left"/>
                    <w:jc w:val="center"/>
                  </w:pPr>
                  <w:r>
                    <w:t xml:space="preserve">Personal, cultural and recreational services</w:t>
                  </w:r>
                </w:p>
              </w:tc>
            </w:tr>
            <w:tr>
              <w:tc>
                <w:tcPr/>
                <w:p>
                  <w:pPr>
                    <w:pStyle w:val="Compact"/>
                    <w:jc w:val="left"/>
                    <w:jc w:val="center"/>
                  </w:pPr>
                  <w:r>
                    <w:t xml:space="preserve">SL</w:t>
                  </w:r>
                </w:p>
              </w:tc>
              <w:tc>
                <w:tcPr/>
                <w:p>
                  <w:pPr>
                    <w:pStyle w:val="Compact"/>
                    <w:jc w:val="left"/>
                    <w:jc w:val="center"/>
                  </w:pPr>
                  <w:r>
                    <w:t xml:space="preserve">Government goods and services n.i.e.</w:t>
                  </w:r>
                </w:p>
              </w:tc>
            </w:tr>
          </w:tbl>
          <w:bookmarkEnd w:id="34"/>
          <w:p/>
        </w:tc>
      </w:tr>
    </w:tbl>
    <w:p>
      <w:pPr>
        <w:pStyle w:val="BodyText"/>
      </w:pPr>
      <w:r>
        <w:t xml:space="preserve">Trade services statistics are challenging in nature</w:t>
      </w:r>
      <w:r>
        <w:t xml:space="preserve"> </w:t>
      </w:r>
      <w:r>
        <w:t xml:space="preserve">(Liberatore and Wettstein 2021)</w:t>
      </w:r>
      <w:r>
        <w:t xml:space="preserve">. Only around 65% of total number of trade in services are recorded bilaterally. Unlike trade in goods, exports are recoreded better than imports, mainly due to advance countries being the majority of service exporters. Only 59% of trade value in BaTIS are fully reported, which are the reported 65% pair. The remaining 41% are estimated using share interpolations and gravity estimations. Since BaTIS is used for other databases including TiVA and ICIO, we should expect similar problems in these two databases.</w:t>
      </w:r>
    </w:p>
    <w:p>
      <w:pPr>
        <w:pStyle w:val="BodyText"/>
      </w:pPr>
      <w:r>
        <w:t xml:space="preserve">Additionally, we also use the Indonesian trade in services statistics compiled by the Indonesian central bank called</w:t>
      </w:r>
      <w:r>
        <w:t xml:space="preserve"> </w:t>
      </w:r>
      <w:r>
        <w:rPr>
          <w:iCs/>
          <w:i/>
        </w:rPr>
        <w:t xml:space="preserve">Statistik Ekonomi dan Keuangan Indonesia</w:t>
      </w:r>
      <w:r>
        <w:t xml:space="preserve"> </w:t>
      </w:r>
      <w:r>
        <w:t xml:space="preserve">(SEKI)</w:t>
      </w:r>
      <w:r>
        <w:t xml:space="preserve"> </w:t>
      </w:r>
      <w:r>
        <w:t xml:space="preserve">(Bank Indonesia, n.d.)</w:t>
      </w:r>
      <w:r>
        <w:t xml:space="preserve">. It records Indonesia’s trade in services in the same manner as BaTIS, but with less detail on the trading partners. Moreover, SEKI is also used to observe Indonesia’s manufacturing GDP and goods exports and imports to estimate the third unbundling effect.</w:t>
      </w:r>
    </w:p>
    <w:p>
      <w:pPr>
        <w:pStyle w:val="BodyText"/>
      </w:pPr>
      <w:r>
        <w:t xml:space="preserve">The OECD Inter-Country Input-Output (ICIO) decribes the sale and purchase relationships between sectors, consumers and the government within and across borders. ICIO estimates trades amonng 76 countries and 45 unique industries based on ISIC Revision 4(OECD, 2023). The database shows how much sectoral value added, both foreign and domestic, that is used by a certain industry.</w:t>
      </w:r>
    </w:p>
    <w:p>
      <w:pPr>
        <w:pStyle w:val="BodyText"/>
      </w:pPr>
      <w:r>
        <w:t xml:space="preserve">In this study, we focus the manufacturing sector, specifically ISIC 10-27 in the ISIC rev. 4 classification. The ICIO aggregates these sectors into 16 sectors. We then aggregates all services that sell to these sectors into two categories, namely domestic services and foreign services.</w:t>
      </w:r>
    </w:p>
    <w:p>
      <w:pPr>
        <w:pStyle w:val="BodyText"/>
      </w:pPr>
      <w:r>
        <w:t xml:space="preserve">On the third unbundling discussion, a good quality of firm-level data with information of its services sourced. Unfortunately, this information is not widely distributed in the Indonesian context. The second-best approach is to use international input-output table, which in this case ICIO is used.</w:t>
      </w:r>
    </w:p>
    <w:p>
      <w:pPr>
        <w:pStyle w:val="BodyText"/>
      </w:pPr>
      <w:r>
        <w:t xml:space="preserve">Assume a manufacturing output and value added as a function of its factor or production. The nest of factor of production produces fully complementarily with its goods and services inputs. Let services inputs be complementarily used with goods inputs, but within the value produced by services, there is a degree of substitutability between foreign and domestic input as such:</w:t>
      </w:r>
    </w:p>
    <w:p>
      <w:pPr>
        <w:pStyle w:val="BodyText"/>
      </w:pPr>
      <w:bookmarkStart w:id="35" w:name="eq-1"/>
      <m:oMathPara>
        <m:oMathParaPr>
          <m:jc m:val="center"/>
        </m:oMathParaPr>
        <m:oMath>
          <m:sSub>
            <m:e>
              <m:r>
                <m:t>Y</m:t>
              </m:r>
            </m:e>
            <m:sub>
              <m:r>
                <m:t>i</m:t>
              </m:r>
              <m:r>
                <m:t>t</m:t>
              </m:r>
            </m:sub>
          </m:sSub>
          <m:r>
            <m:rPr>
              <m:sty m:val="p"/>
            </m:rPr>
            <m:t>=</m:t>
          </m:r>
          <m:r>
            <m:t>f</m:t>
          </m:r>
          <m:d>
            <m:dPr>
              <m:begChr m:val="("/>
              <m:endChr m:val=")"/>
              <m:sepChr m:val=""/>
              <m:grow/>
            </m:dPr>
            <m:e>
              <m:r>
                <m:t>A</m:t>
              </m:r>
              <m:sSubSup>
                <m:e>
                  <m:r>
                    <m:t>S</m:t>
                  </m:r>
                </m:e>
                <m:sub>
                  <m:r>
                    <m:t>i</m:t>
                  </m:r>
                  <m:r>
                    <m:t>t</m:t>
                  </m:r>
                </m:sub>
                <m:sup>
                  <m:r>
                    <m:t>D</m:t>
                  </m:r>
                </m:sup>
              </m:sSubSup>
              <m:r>
                <m:rPr>
                  <m:sty m:val="p"/>
                </m:rPr>
                <m:t>,</m:t>
              </m:r>
              <m:r>
                <m:t>A</m:t>
              </m:r>
              <m:sSubSup>
                <m:e>
                  <m:r>
                    <m:t>S</m:t>
                  </m:r>
                </m:e>
                <m:sub>
                  <m:r>
                    <m:t>i</m:t>
                  </m:r>
                  <m:r>
                    <m:t>t</m:t>
                  </m:r>
                </m:sub>
                <m:sup>
                  <m:r>
                    <m:t>F</m:t>
                  </m:r>
                </m:sup>
              </m:sSubSup>
            </m:e>
          </m:d>
          <m:r>
            <m:t>  </m:t>
          </m:r>
          <m:d>
            <m:dPr>
              <m:begChr m:val="("/>
              <m:endChr m:val=")"/>
              <m:sepChr m:val=""/>
              <m:grow/>
            </m:dPr>
            <m:e>
              <m:r>
                <m:t>1</m:t>
              </m:r>
            </m:e>
          </m:d>
        </m:oMath>
      </m:oMathPara>
      <w:bookmarkEnd w:id="35"/>
    </w:p>
    <w:p>
      <w:pPr>
        <w:pStyle w:val="FirstParagraph"/>
      </w:pPr>
      <w:r>
        <w:t xml:space="preserve">for all</w:t>
      </w:r>
      <w:r>
        <w:t xml:space="preserve"> </w:t>
      </w:r>
      <m:oMath>
        <m:r>
          <m:t>i</m:t>
        </m:r>
        <m:r>
          <m:rPr>
            <m:sty m:val="p"/>
          </m:rPr>
          <m:t>=</m:t>
        </m:r>
      </m:oMath>
      <w:r>
        <w:t xml:space="preserve"> </w:t>
      </w:r>
      <w:r>
        <w:t xml:space="preserve">manufacturing sectors and</w:t>
      </w:r>
      <w:r>
        <w:t xml:space="preserve"> </w:t>
      </w:r>
      <m:oMath>
        <m:r>
          <m:t>t</m:t>
        </m:r>
        <m:r>
          <m:rPr>
            <m:sty m:val="p"/>
          </m:rPr>
          <m:t>=</m:t>
        </m:r>
        <m:r>
          <m:t>y</m:t>
        </m:r>
        <m:r>
          <m:t>e</m:t>
        </m:r>
        <m:r>
          <m:t>a</m:t>
        </m:r>
        <m:r>
          <m:t>r</m:t>
        </m:r>
      </m:oMath>
      <w:r>
        <w:t xml:space="preserve">. A is the nest multiplier,</w:t>
      </w:r>
      <w:r>
        <w:t xml:space="preserve"> </w:t>
      </w:r>
      <m:oMath>
        <m:sSubSup>
          <m:e>
            <m:r>
              <m:t>S</m:t>
            </m:r>
          </m:e>
          <m:sub>
            <m:r>
              <m:t>i</m:t>
            </m:r>
          </m:sub>
          <m:sup>
            <m:r>
              <m:t>D</m:t>
            </m:r>
          </m:sup>
        </m:sSubSup>
      </m:oMath>
      <w:r>
        <w:t xml:space="preserve"> </w:t>
      </w:r>
      <w:r>
        <w:t xml:space="preserve">and</w:t>
      </w:r>
      <w:r>
        <w:t xml:space="preserve"> </w:t>
      </w:r>
      <m:oMath>
        <m:sSubSup>
          <m:e>
            <m:r>
              <m:t>S</m:t>
            </m:r>
          </m:e>
          <m:sub>
            <m:r>
              <m:t>i</m:t>
            </m:r>
          </m:sub>
          <m:sup>
            <m:r>
              <m:t>F</m:t>
            </m:r>
          </m:sup>
        </m:sSubSup>
      </m:oMath>
      <w:r>
        <w:t xml:space="preserve"> </w:t>
      </w:r>
      <w:r>
        <w:t xml:space="preserve">are total services purchased by industry</w:t>
      </w:r>
      <w:r>
        <w:t xml:space="preserve"> </w:t>
      </w:r>
      <m:oMath>
        <m:r>
          <m:t>i</m:t>
        </m:r>
      </m:oMath>
      <w:r>
        <w:t xml:space="preserve">, domestically and imported respectively.</w:t>
      </w:r>
    </w:p>
    <w:p>
      <w:pPr>
        <w:pStyle w:val="BodyText"/>
      </w:pPr>
      <w:r>
        <w:t xml:space="preserve">Assuming a cobb-douglass relationship, then we can log-linearize</w:t>
      </w:r>
      <w:r>
        <w:t xml:space="preserve"> </w:t>
      </w:r>
      <w:hyperlink w:anchor="eq-1">
        <w:r>
          <w:rPr>
            <w:rStyle w:val="Hyperlink"/>
          </w:rPr>
          <w:t xml:space="preserve">Equation 1</w:t>
        </w:r>
      </w:hyperlink>
      <w:r>
        <w:t xml:space="preserve"> </w:t>
      </w:r>
      <w:r>
        <w:t xml:space="preserve">to a simple linear system as such:</w:t>
      </w:r>
    </w:p>
    <w:p>
      <w:pPr>
        <w:pStyle w:val="BodyText"/>
      </w:pPr>
      <w:bookmarkStart w:id="36" w:name="eq-2"/>
      <m:oMathPara>
        <m:oMathParaPr>
          <m:jc m:val="center"/>
        </m:oMathParaPr>
        <m:oMath>
          <m:sSub>
            <m:e>
              <m:r>
                <m:t>y</m:t>
              </m:r>
            </m:e>
            <m:sub>
              <m:r>
                <m:t>i</m:t>
              </m:r>
              <m:r>
                <m:t>t</m:t>
              </m:r>
            </m:sub>
          </m:sSub>
          <m:r>
            <m:rPr>
              <m:sty m:val="p"/>
            </m:rPr>
            <m:t>=</m:t>
          </m:r>
          <m:r>
            <m:t>a</m:t>
          </m:r>
          <m:r>
            <m:rPr>
              <m:sty m:val="p"/>
            </m:rPr>
            <m:t>+</m:t>
          </m:r>
          <m:sSub>
            <m:e>
              <m:r>
                <m:t>β</m:t>
              </m:r>
            </m:e>
            <m:sub>
              <m:r>
                <m:t>d</m:t>
              </m:r>
            </m:sub>
          </m:sSub>
          <m:sSubSup>
            <m:e>
              <m:r>
                <m:t>s</m:t>
              </m:r>
            </m:e>
            <m:sub>
              <m:r>
                <m:t>i</m:t>
              </m:r>
              <m:r>
                <m:t>t</m:t>
              </m:r>
            </m:sub>
            <m:sup>
              <m:r>
                <m:t>D</m:t>
              </m:r>
            </m:sup>
          </m:sSubSup>
          <m:r>
            <m:rPr>
              <m:sty m:val="p"/>
            </m:rPr>
            <m:t>+</m:t>
          </m:r>
          <m:sSub>
            <m:e>
              <m:r>
                <m:t>β</m:t>
              </m:r>
            </m:e>
            <m:sub>
              <m:r>
                <m:t>f</m:t>
              </m:r>
            </m:sub>
          </m:sSub>
          <m:sSubSup>
            <m:e>
              <m:r>
                <m:t>s</m:t>
              </m:r>
            </m:e>
            <m:sub>
              <m:r>
                <m:t>i</m:t>
              </m:r>
              <m:r>
                <m:t>t</m:t>
              </m:r>
            </m:sub>
            <m:sup>
              <m:r>
                <m:t>F</m:t>
              </m:r>
            </m:sup>
          </m:sSubSup>
          <m:r>
            <m:rPr>
              <m:sty m:val="p"/>
            </m:rPr>
            <m:t>+</m:t>
          </m:r>
          <m:sSub>
            <m:e>
              <m:r>
                <m:t>ε</m:t>
              </m:r>
            </m:e>
            <m:sub>
              <m:r>
                <m:t>i</m:t>
              </m:r>
              <m:r>
                <m:t>t</m:t>
              </m:r>
            </m:sub>
          </m:sSub>
          <m:r>
            <m:t>  </m:t>
          </m:r>
          <m:d>
            <m:dPr>
              <m:begChr m:val="("/>
              <m:endChr m:val=")"/>
              <m:sepChr m:val=""/>
              <m:grow/>
            </m:dPr>
            <m:e>
              <m:r>
                <m:t>2</m:t>
              </m:r>
            </m:e>
          </m:d>
        </m:oMath>
      </m:oMathPara>
      <w:bookmarkEnd w:id="36"/>
    </w:p>
    <w:p>
      <w:pPr>
        <w:pStyle w:val="FirstParagraph"/>
      </w:pPr>
      <w:r>
        <w:t xml:space="preserve">with a lower case represents the natural log of its uppercase counterpart.</w:t>
      </w:r>
    </w:p>
    <w:p>
      <w:pPr>
        <w:pStyle w:val="BodyText"/>
      </w:pPr>
      <w:r>
        <w:t xml:space="preserve">To construct the dataset for the regression, we aggregate non-factor inputs from each manufacuring sectors, separated by whether it is from Indonesia or from other countries. All inputs from foreign countries are aggregated into foreign.</w:t>
      </w:r>
    </w:p>
    <w:p>
      <w:pPr>
        <w:pStyle w:val="BodyText"/>
      </w:pPr>
      <w:r>
        <w:t xml:space="preserve">For comparison purpose, we also do the same for 4 countries in the region, namely Singapore, Malaysia, Thailand and Vietnam. Data from these 5 countries are then concatenated to add one more dimension, countries. Summary statistics on the data is shown in</w:t>
      </w:r>
      <w:r>
        <w:t xml:space="preserve"> </w:t>
      </w:r>
      <w:hyperlink w:anchor="tbl-icio">
        <w:r>
          <w:rPr>
            <w:rStyle w:val="Hyperlink"/>
          </w:rPr>
          <w:t xml:space="preserve">Table 2</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37" w:name="tbl-icio"/>
          <w:p>
            <w:pPr>
              <w:jc w:val="center"/>
            </w:pPr>
            <w:pPr>
              <w:jc w:val="start"/>
              <w:spacing w:before="200"/>
              <w:pStyle w:val="ImageCaption"/>
            </w:pPr>
            <w:r>
              <w:t xml:space="preserve">Table 2: Summary Statistics from ICIO, million USD, 2002-2021.</w:t>
            </w:r>
          </w:p>
          <w:tbl>
            <w:tblPr>
              <w:tblStyle w:val="Table"/>
              <w:tblW w:type="pct" w:w="4740"/>
              <w:tblLook w:firstRow="1" w:lastRow="0" w:firstColumn="0" w:lastColumn="0" w:noHBand="0" w:noVBand="0" w:val="0020"/>
              <w:jc w:val="start"/>
              <w:tblLayout w:type="fixed"/>
            </w:tblPr>
            <w:tblGrid>
              <w:gridCol w:w="1815"/>
              <w:gridCol w:w="907"/>
              <w:gridCol w:w="907"/>
              <w:gridCol w:w="990"/>
              <w:gridCol w:w="907"/>
              <w:gridCol w:w="907"/>
              <w:gridCol w:w="1072"/>
            </w:tblGrid>
            <w:tr>
              <w:trPr>
                <w:tblHeader w:val="true"/>
              </w:trPr>
              <w:tc>
                <w:tcPr/>
                <w:p>
                  <w:pPr>
                    <w:pStyle w:val="Compact"/>
                  </w:pPr>
                </w:p>
              </w:tc>
              <w:tc>
                <w:tcPr>
                  <w:gridSpan w:val="3"/>
                </w:tcPr>
                <w:p>
                  <w:pPr>
                    <w:pStyle w:val="Compact"/>
                    <w:jc w:val="left"/>
                    <w:jc w:val="center"/>
                  </w:pPr>
                  <w:r>
                    <w:t xml:space="preserve">all</w:t>
                  </w:r>
                </w:p>
              </w:tc>
              <w:tc>
                <w:tcPr>
                  <w:gridSpan w:val="3"/>
                </w:tcPr>
                <w:p>
                  <w:pPr>
                    <w:pStyle w:val="Compact"/>
                    <w:jc w:val="left"/>
                    <w:jc w:val="center"/>
                  </w:pPr>
                  <w:r>
                    <w:t xml:space="preserve">IDN</w:t>
                  </w:r>
                </w:p>
              </w:tc>
            </w:tr>
            <w:tr>
              <w:trPr>
                <w:tblHeader w:val="true"/>
              </w:trPr>
              <w:tc>
                <w:tcPr/>
                <w:p>
                  <w:pPr>
                    <w:pStyle w:val="Compact"/>
                  </w:pPr>
                </w:p>
              </w:tc>
              <w:tc>
                <w:tcPr/>
                <w:p>
                  <w:pPr>
                    <w:pStyle w:val="Compact"/>
                    <w:jc w:val="left"/>
                    <w:jc w:val="center"/>
                  </w:pPr>
                  <w:r>
                    <w:t xml:space="preserve">Mean</w:t>
                  </w:r>
                </w:p>
              </w:tc>
              <w:tc>
                <w:tcPr/>
                <w:p>
                  <w:pPr>
                    <w:pStyle w:val="Compact"/>
                    <w:jc w:val="left"/>
                    <w:jc w:val="center"/>
                  </w:pPr>
                  <w:r>
                    <w:t xml:space="preserve">SD</w:t>
                  </w:r>
                </w:p>
              </w:tc>
              <w:tc>
                <w:tcPr/>
                <w:p>
                  <w:pPr>
                    <w:pStyle w:val="Compact"/>
                    <w:jc w:val="left"/>
                    <w:jc w:val="center"/>
                  </w:pPr>
                  <w:r>
                    <w:t xml:space="preserve">Histogram</w:t>
                  </w:r>
                </w:p>
              </w:tc>
              <w:tc>
                <w:tcPr/>
                <w:p>
                  <w:pPr>
                    <w:pStyle w:val="Compact"/>
                    <w:jc w:val="left"/>
                    <w:jc w:val="center"/>
                  </w:pPr>
                  <w:r>
                    <w:t xml:space="preserve">Mean</w:t>
                  </w:r>
                </w:p>
              </w:tc>
              <w:tc>
                <w:tcPr/>
                <w:p>
                  <w:pPr>
                    <w:pStyle w:val="Compact"/>
                    <w:jc w:val="left"/>
                    <w:jc w:val="center"/>
                  </w:pPr>
                  <w:r>
                    <w:t xml:space="preserve">SD</w:t>
                  </w:r>
                </w:p>
              </w:tc>
              <w:tc>
                <w:tcPr/>
                <w:p>
                  <w:pPr>
                    <w:pStyle w:val="Compact"/>
                    <w:jc w:val="left"/>
                    <w:jc w:val="center"/>
                  </w:pPr>
                  <w:r>
                    <w:t xml:space="preserve">Histogram</w:t>
                  </w:r>
                </w:p>
              </w:tc>
            </w:tr>
            <w:tr>
              <w:tc>
                <w:tcPr/>
                <w:p>
                  <w:pPr>
                    <w:pStyle w:val="Compact"/>
                    <w:jc w:val="left"/>
                    <w:jc w:val="center"/>
                  </w:pPr>
                  <w:r>
                    <w:t xml:space="preserve">value added</w:t>
                  </w:r>
                </w:p>
              </w:tc>
              <w:tc>
                <w:tcPr/>
                <w:p>
                  <w:pPr>
                    <w:pStyle w:val="Compact"/>
                    <w:jc w:val="left"/>
                    <w:jc w:val="center"/>
                  </w:pPr>
                  <w:r>
                    <w:t xml:space="preserve">4181.70</w:t>
                  </w:r>
                </w:p>
              </w:tc>
              <w:tc>
                <w:tcPr/>
                <w:p>
                  <w:pPr>
                    <w:pStyle w:val="Compact"/>
                    <w:jc w:val="left"/>
                    <w:jc w:val="center"/>
                  </w:pPr>
                  <w:r>
                    <w:t xml:space="preserve">6845.40</w:t>
                  </w:r>
                </w:p>
              </w:tc>
              <w:tc>
                <w:tcPr/>
                <w:p>
                  <w:pPr>
                    <w:pStyle w:val="Compact"/>
                    <w:jc w:val="left"/>
                    <w:jc w:val="center"/>
                  </w:pPr>
                  <w:r>
                    <w:t xml:space="preserve">▇▁</w:t>
                  </w:r>
                </w:p>
              </w:tc>
              <w:tc>
                <w:tcPr/>
                <w:p>
                  <w:pPr>
                    <w:pStyle w:val="Compact"/>
                    <w:jc w:val="left"/>
                    <w:jc w:val="center"/>
                  </w:pPr>
                  <w:r>
                    <w:t xml:space="preserve">8150.56</w:t>
                  </w:r>
                </w:p>
              </w:tc>
              <w:tc>
                <w:tcPr/>
                <w:p>
                  <w:pPr>
                    <w:pStyle w:val="Compact"/>
                    <w:jc w:val="left"/>
                    <w:jc w:val="center"/>
                  </w:pPr>
                  <w:r>
                    <w:t xml:space="preserve">12191.95</w:t>
                  </w:r>
                </w:p>
              </w:tc>
              <w:tc>
                <w:tcPr/>
                <w:p>
                  <w:pPr>
                    <w:pStyle w:val="Compact"/>
                    <w:jc w:val="left"/>
                    <w:jc w:val="center"/>
                  </w:pPr>
                  <w:r>
                    <w:t xml:space="preserve">▇▁</w:t>
                  </w:r>
                </w:p>
              </w:tc>
            </w:tr>
            <w:tr>
              <w:tc>
                <w:tcPr/>
                <w:p>
                  <w:pPr>
                    <w:pStyle w:val="Compact"/>
                    <w:jc w:val="left"/>
                    <w:jc w:val="center"/>
                  </w:pPr>
                  <w:r>
                    <w:t xml:space="preserve">output</w:t>
                  </w:r>
                </w:p>
              </w:tc>
              <w:tc>
                <w:tcPr/>
                <w:p>
                  <w:pPr>
                    <w:pStyle w:val="Compact"/>
                    <w:jc w:val="left"/>
                    <w:jc w:val="center"/>
                  </w:pPr>
                  <w:r>
                    <w:t xml:space="preserve">15930.67</w:t>
                  </w:r>
                </w:p>
              </w:tc>
              <w:tc>
                <w:tcPr/>
                <w:p>
                  <w:pPr>
                    <w:pStyle w:val="Compact"/>
                    <w:jc w:val="left"/>
                    <w:jc w:val="center"/>
                  </w:pPr>
                  <w:r>
                    <w:t xml:space="preserve">21741.55</w:t>
                  </w:r>
                </w:p>
              </w:tc>
              <w:tc>
                <w:tcPr/>
                <w:p>
                  <w:pPr>
                    <w:pStyle w:val="Compact"/>
                    <w:jc w:val="left"/>
                    <w:jc w:val="center"/>
                  </w:pPr>
                  <w:r>
                    <w:t xml:space="preserve">▇▁</w:t>
                  </w:r>
                </w:p>
              </w:tc>
              <w:tc>
                <w:tcPr/>
                <w:p>
                  <w:pPr>
                    <w:pStyle w:val="Compact"/>
                    <w:jc w:val="left"/>
                    <w:jc w:val="center"/>
                  </w:pPr>
                  <w:r>
                    <w:t xml:space="preserve">21529.33</w:t>
                  </w:r>
                </w:p>
              </w:tc>
              <w:tc>
                <w:tcPr/>
                <w:p>
                  <w:pPr>
                    <w:pStyle w:val="Compact"/>
                    <w:jc w:val="left"/>
                    <w:jc w:val="center"/>
                  </w:pPr>
                  <w:r>
                    <w:t xml:space="preserve">29317.48</w:t>
                  </w:r>
                </w:p>
              </w:tc>
              <w:tc>
                <w:tcPr/>
                <w:p>
                  <w:pPr>
                    <w:pStyle w:val="Compact"/>
                    <w:jc w:val="left"/>
                    <w:jc w:val="center"/>
                  </w:pPr>
                  <w:r>
                    <w:t xml:space="preserve">▇▁▁</w:t>
                  </w:r>
                </w:p>
              </w:tc>
            </w:tr>
            <w:tr>
              <w:tc>
                <w:tcPr/>
                <w:p>
                  <w:pPr>
                    <w:pStyle w:val="Compact"/>
                    <w:jc w:val="left"/>
                    <w:jc w:val="center"/>
                  </w:pPr>
                  <w:r>
                    <w:t xml:space="preserve">domestic services</w:t>
                  </w:r>
                </w:p>
              </w:tc>
              <w:tc>
                <w:tcPr/>
                <w:p>
                  <w:pPr>
                    <w:pStyle w:val="Compact"/>
                    <w:jc w:val="left"/>
                    <w:jc w:val="center"/>
                  </w:pPr>
                  <w:r>
                    <w:t xml:space="preserve">2804.36</w:t>
                  </w:r>
                </w:p>
              </w:tc>
              <w:tc>
                <w:tcPr/>
                <w:p>
                  <w:pPr>
                    <w:pStyle w:val="Compact"/>
                    <w:jc w:val="left"/>
                    <w:jc w:val="center"/>
                  </w:pPr>
                  <w:r>
                    <w:t xml:space="preserve">3889.86</w:t>
                  </w:r>
                </w:p>
              </w:tc>
              <w:tc>
                <w:tcPr/>
                <w:p>
                  <w:pPr>
                    <w:pStyle w:val="Compact"/>
                    <w:jc w:val="left"/>
                    <w:jc w:val="center"/>
                  </w:pPr>
                  <w:r>
                    <w:t xml:space="preserve">▇▂▁</w:t>
                  </w:r>
                </w:p>
              </w:tc>
              <w:tc>
                <w:tcPr/>
                <w:p>
                  <w:pPr>
                    <w:pStyle w:val="Compact"/>
                    <w:jc w:val="left"/>
                    <w:jc w:val="center"/>
                  </w:pPr>
                  <w:r>
                    <w:t xml:space="preserve">3735.21</w:t>
                  </w:r>
                </w:p>
              </w:tc>
              <w:tc>
                <w:tcPr/>
                <w:p>
                  <w:pPr>
                    <w:pStyle w:val="Compact"/>
                    <w:jc w:val="left"/>
                    <w:jc w:val="center"/>
                  </w:pPr>
                  <w:r>
                    <w:t xml:space="preserve">4176.07</w:t>
                  </w:r>
                </w:p>
              </w:tc>
              <w:tc>
                <w:tcPr/>
                <w:p>
                  <w:pPr>
                    <w:pStyle w:val="Compact"/>
                    <w:jc w:val="left"/>
                    <w:jc w:val="center"/>
                  </w:pPr>
                  <w:r>
                    <w:t xml:space="preserve">▇▅▁</w:t>
                  </w:r>
                </w:p>
              </w:tc>
            </w:tr>
            <w:tr>
              <w:tc>
                <w:tcPr/>
                <w:p>
                  <w:pPr>
                    <w:pStyle w:val="Compact"/>
                    <w:jc w:val="left"/>
                    <w:jc w:val="center"/>
                  </w:pPr>
                  <w:r>
                    <w:t xml:space="preserve">foreign services</w:t>
                  </w:r>
                </w:p>
              </w:tc>
              <w:tc>
                <w:tcPr/>
                <w:p>
                  <w:pPr>
                    <w:pStyle w:val="Compact"/>
                    <w:jc w:val="left"/>
                    <w:jc w:val="center"/>
                  </w:pPr>
                  <w:r>
                    <w:t xml:space="preserve">845.74</w:t>
                  </w:r>
                </w:p>
              </w:tc>
              <w:tc>
                <w:tcPr/>
                <w:p>
                  <w:pPr>
                    <w:pStyle w:val="Compact"/>
                    <w:jc w:val="left"/>
                    <w:jc w:val="center"/>
                  </w:pPr>
                  <w:r>
                    <w:t xml:space="preserve">1730.29</w:t>
                  </w:r>
                </w:p>
              </w:tc>
              <w:tc>
                <w:tcPr/>
                <w:p>
                  <w:pPr>
                    <w:pStyle w:val="Compact"/>
                    <w:jc w:val="left"/>
                    <w:jc w:val="center"/>
                  </w:pPr>
                  <w:r>
                    <w:t xml:space="preserve">▇</w:t>
                  </w:r>
                </w:p>
              </w:tc>
              <w:tc>
                <w:tcPr/>
                <w:p>
                  <w:pPr>
                    <w:pStyle w:val="Compact"/>
                    <w:jc w:val="left"/>
                    <w:jc w:val="center"/>
                  </w:pPr>
                  <w:r>
                    <w:t xml:space="preserve">420.05</w:t>
                  </w:r>
                </w:p>
              </w:tc>
              <w:tc>
                <w:tcPr/>
                <w:p>
                  <w:pPr>
                    <w:pStyle w:val="Compact"/>
                    <w:jc w:val="left"/>
                    <w:jc w:val="center"/>
                  </w:pPr>
                  <w:r>
                    <w:t xml:space="preserve">339.95</w:t>
                  </w:r>
                </w:p>
              </w:tc>
              <w:tc>
                <w:tcPr/>
                <w:p>
                  <w:pPr>
                    <w:pStyle w:val="Compact"/>
                    <w:jc w:val="left"/>
                    <w:jc w:val="center"/>
                  </w:pPr>
                  <w:r>
                    <w:t xml:space="preserve">▇▆▄▃▂▁</w:t>
                  </w:r>
                </w:p>
              </w:tc>
            </w:tr>
            <w:tr>
              <w:tc>
                <w:tcPr/>
                <w:p>
                  <w:pPr>
                    <w:pStyle w:val="Compact"/>
                    <w:jc w:val="left"/>
                    <w:jc w:val="center"/>
                  </w:pPr>
                  <w:r>
                    <w:t xml:space="preserve">domestic goods</w:t>
                  </w:r>
                </w:p>
              </w:tc>
              <w:tc>
                <w:tcPr/>
                <w:p>
                  <w:pPr>
                    <w:pStyle w:val="Compact"/>
                    <w:jc w:val="left"/>
                    <w:jc w:val="center"/>
                  </w:pPr>
                  <w:r>
                    <w:t xml:space="preserve">5213.09</w:t>
                  </w:r>
                </w:p>
              </w:tc>
              <w:tc>
                <w:tcPr/>
                <w:p>
                  <w:pPr>
                    <w:pStyle w:val="Compact"/>
                    <w:jc w:val="left"/>
                    <w:jc w:val="center"/>
                  </w:pPr>
                  <w:r>
                    <w:t xml:space="preserve">9008.54</w:t>
                  </w:r>
                </w:p>
              </w:tc>
              <w:tc>
                <w:tcPr/>
                <w:p>
                  <w:pPr>
                    <w:pStyle w:val="Compact"/>
                    <w:jc w:val="left"/>
                    <w:jc w:val="center"/>
                  </w:pPr>
                  <w:r>
                    <w:t xml:space="preserve">▇▁</w:t>
                  </w:r>
                </w:p>
              </w:tc>
              <w:tc>
                <w:tcPr/>
                <w:p>
                  <w:pPr>
                    <w:pStyle w:val="Compact"/>
                    <w:jc w:val="left"/>
                    <w:jc w:val="center"/>
                  </w:pPr>
                  <w:r>
                    <w:t xml:space="preserve">7123.05</w:t>
                  </w:r>
                </w:p>
              </w:tc>
              <w:tc>
                <w:tcPr/>
                <w:p>
                  <w:pPr>
                    <w:pStyle w:val="Compact"/>
                    <w:jc w:val="left"/>
                    <w:jc w:val="center"/>
                  </w:pPr>
                  <w:r>
                    <w:t xml:space="preserve">12296.21</w:t>
                  </w:r>
                </w:p>
              </w:tc>
              <w:tc>
                <w:tcPr/>
                <w:p>
                  <w:pPr>
                    <w:pStyle w:val="Compact"/>
                    <w:jc w:val="left"/>
                    <w:jc w:val="center"/>
                  </w:pPr>
                  <w:r>
                    <w:t xml:space="preserve">▇▁</w:t>
                  </w:r>
                </w:p>
              </w:tc>
            </w:tr>
            <w:tr>
              <w:tc>
                <w:tcPr/>
                <w:p>
                  <w:pPr>
                    <w:pStyle w:val="Compact"/>
                    <w:jc w:val="left"/>
                    <w:jc w:val="center"/>
                  </w:pPr>
                  <w:r>
                    <w:t xml:space="preserve">foreign goods</w:t>
                  </w:r>
                </w:p>
              </w:tc>
              <w:tc>
                <w:tcPr/>
                <w:p>
                  <w:pPr>
                    <w:pStyle w:val="Compact"/>
                    <w:jc w:val="left"/>
                    <w:jc w:val="center"/>
                  </w:pPr>
                  <w:r>
                    <w:t xml:space="preserve">7057.46</w:t>
                  </w:r>
                </w:p>
              </w:tc>
              <w:tc>
                <w:tcPr/>
                <w:p>
                  <w:pPr>
                    <w:pStyle w:val="Compact"/>
                    <w:jc w:val="left"/>
                    <w:jc w:val="center"/>
                  </w:pPr>
                  <w:r>
                    <w:t xml:space="preserve">9172.47</w:t>
                  </w:r>
                </w:p>
              </w:tc>
              <w:tc>
                <w:tcPr/>
                <w:p>
                  <w:pPr>
                    <w:pStyle w:val="Compact"/>
                    <w:jc w:val="left"/>
                    <w:jc w:val="center"/>
                  </w:pPr>
                  <w:r>
                    <w:t xml:space="preserve">▇▁▁</w:t>
                  </w:r>
                </w:p>
              </w:tc>
              <w:tc>
                <w:tcPr/>
                <w:p>
                  <w:pPr>
                    <w:pStyle w:val="Compact"/>
                    <w:jc w:val="left"/>
                    <w:jc w:val="center"/>
                  </w:pPr>
                  <w:r>
                    <w:t xml:space="preserve">10240.63</w:t>
                  </w:r>
                </w:p>
              </w:tc>
              <w:tc>
                <w:tcPr/>
                <w:p>
                  <w:pPr>
                    <w:pStyle w:val="Compact"/>
                    <w:jc w:val="left"/>
                    <w:jc w:val="center"/>
                  </w:pPr>
                  <w:r>
                    <w:t xml:space="preserve">12983.59</w:t>
                  </w:r>
                </w:p>
              </w:tc>
              <w:tc>
                <w:tcPr/>
                <w:p>
                  <w:pPr>
                    <w:pStyle w:val="Compact"/>
                    <w:jc w:val="left"/>
                    <w:jc w:val="center"/>
                  </w:pPr>
                  <w:r>
                    <w:t xml:space="preserve">▇▁▁</w:t>
                  </w:r>
                </w:p>
              </w:tc>
            </w:tr>
            <w:tr>
              <w:tc>
                <w:tcPr/>
                <w:p>
                  <w:pPr>
                    <w:pStyle w:val="Compact"/>
                    <w:jc w:val="left"/>
                    <w:jc w:val="center"/>
                  </w:pPr>
                  <w:r>
                    <w:t xml:space="preserve">for. services share</w:t>
                  </w:r>
                </w:p>
              </w:tc>
              <w:tc>
                <w:tcPr/>
                <w:p>
                  <w:pPr>
                    <w:pStyle w:val="Compact"/>
                    <w:jc w:val="left"/>
                    <w:jc w:val="center"/>
                  </w:pPr>
                  <w:r>
                    <w:t xml:space="preserve">5.76</w:t>
                  </w:r>
                </w:p>
              </w:tc>
              <w:tc>
                <w:tcPr/>
                <w:p>
                  <w:pPr>
                    <w:pStyle w:val="Compact"/>
                    <w:jc w:val="left"/>
                    <w:jc w:val="center"/>
                  </w:pPr>
                  <w:r>
                    <w:t xml:space="preserve">3.70</w:t>
                  </w:r>
                </w:p>
              </w:tc>
              <w:tc>
                <w:tcPr/>
                <w:p>
                  <w:pPr>
                    <w:pStyle w:val="Compact"/>
                    <w:jc w:val="left"/>
                    <w:jc w:val="center"/>
                  </w:pPr>
                  <w:r>
                    <w:t xml:space="preserve">▃▇▃▁</w:t>
                  </w:r>
                </w:p>
              </w:tc>
              <w:tc>
                <w:tcPr/>
                <w:p>
                  <w:pPr>
                    <w:pStyle w:val="Compact"/>
                    <w:jc w:val="left"/>
                    <w:jc w:val="center"/>
                  </w:pPr>
                  <w:r>
                    <w:t xml:space="preserve">2.45</w:t>
                  </w:r>
                </w:p>
              </w:tc>
              <w:tc>
                <w:tcPr/>
                <w:p>
                  <w:pPr>
                    <w:pStyle w:val="Compact"/>
                    <w:jc w:val="left"/>
                    <w:jc w:val="center"/>
                  </w:pPr>
                  <w:r>
                    <w:t xml:space="preserve">1.34</w:t>
                  </w:r>
                </w:p>
              </w:tc>
              <w:tc>
                <w:tcPr/>
                <w:p>
                  <w:pPr>
                    <w:pStyle w:val="Compact"/>
                    <w:jc w:val="left"/>
                    <w:jc w:val="center"/>
                  </w:pPr>
                  <w:r>
                    <w:t xml:space="preserve">▇▆▆▇▄▃▂▂▁</w:t>
                  </w:r>
                </w:p>
              </w:tc>
            </w:tr>
            <w:tr>
              <w:tc>
                <w:tcPr/>
                <w:p>
                  <w:pPr>
                    <w:pStyle w:val="Compact"/>
                    <w:jc w:val="left"/>
                    <w:jc w:val="center"/>
                  </w:pPr>
                  <w:r>
                    <w:t xml:space="preserve">dom. services share</w:t>
                  </w:r>
                </w:p>
              </w:tc>
              <w:tc>
                <w:tcPr/>
                <w:p>
                  <w:pPr>
                    <w:pStyle w:val="Compact"/>
                    <w:jc w:val="left"/>
                    <w:jc w:val="center"/>
                  </w:pPr>
                  <w:r>
                    <w:t xml:space="preserve">18.02</w:t>
                  </w:r>
                </w:p>
              </w:tc>
              <w:tc>
                <w:tcPr/>
                <w:p>
                  <w:pPr>
                    <w:pStyle w:val="Compact"/>
                    <w:jc w:val="left"/>
                    <w:jc w:val="center"/>
                  </w:pPr>
                  <w:r>
                    <w:t xml:space="preserve">6.73</w:t>
                  </w:r>
                </w:p>
              </w:tc>
              <w:tc>
                <w:tcPr/>
                <w:p>
                  <w:pPr>
                    <w:pStyle w:val="Compact"/>
                    <w:jc w:val="left"/>
                    <w:jc w:val="center"/>
                  </w:pPr>
                  <w:r>
                    <w:t xml:space="preserve">▂▇▇▇▅▃▁▁</w:t>
                  </w:r>
                </w:p>
              </w:tc>
              <w:tc>
                <w:tcPr/>
                <w:p>
                  <w:pPr>
                    <w:pStyle w:val="Compact"/>
                    <w:jc w:val="left"/>
                    <w:jc w:val="center"/>
                  </w:pPr>
                  <w:r>
                    <w:t xml:space="preserve">18.55</w:t>
                  </w:r>
                </w:p>
              </w:tc>
              <w:tc>
                <w:tcPr/>
                <w:p>
                  <w:pPr>
                    <w:pStyle w:val="Compact"/>
                    <w:jc w:val="left"/>
                    <w:jc w:val="center"/>
                  </w:pPr>
                  <w:r>
                    <w:t xml:space="preserve">5.41</w:t>
                  </w:r>
                </w:p>
              </w:tc>
              <w:tc>
                <w:tcPr/>
                <w:p>
                  <w:pPr>
                    <w:pStyle w:val="Compact"/>
                    <w:jc w:val="left"/>
                    <w:jc w:val="center"/>
                  </w:pPr>
                  <w:r>
                    <w:t xml:space="preserve">▂▆▇▇▅▄▅▃▁</w:t>
                  </w:r>
                </w:p>
              </w:tc>
            </w:tr>
            <w:tr>
              <w:tc>
                <w:tcPr/>
                <w:p>
                  <w:pPr>
                    <w:pStyle w:val="Compact"/>
                    <w:jc w:val="left"/>
                    <w:jc w:val="center"/>
                  </w:pPr>
                  <w:r>
                    <w:t xml:space="preserve">for. goods share</w:t>
                  </w:r>
                </w:p>
              </w:tc>
              <w:tc>
                <w:tcPr/>
                <w:p>
                  <w:pPr>
                    <w:pStyle w:val="Compact"/>
                    <w:jc w:val="left"/>
                    <w:jc w:val="center"/>
                  </w:pPr>
                  <w:r>
                    <w:t xml:space="preserve">47.62</w:t>
                  </w:r>
                </w:p>
              </w:tc>
              <w:tc>
                <w:tcPr/>
                <w:p>
                  <w:pPr>
                    <w:pStyle w:val="Compact"/>
                    <w:jc w:val="left"/>
                    <w:jc w:val="center"/>
                  </w:pPr>
                  <w:r>
                    <w:t xml:space="preserve">11.39</w:t>
                  </w:r>
                </w:p>
              </w:tc>
              <w:tc>
                <w:tcPr/>
                <w:p>
                  <w:pPr>
                    <w:pStyle w:val="Compact"/>
                    <w:jc w:val="left"/>
                    <w:jc w:val="center"/>
                  </w:pPr>
                  <w:r>
                    <w:t xml:space="preserve">▁▂▂▅▇▆▄▂▁</w:t>
                  </w:r>
                </w:p>
              </w:tc>
              <w:tc>
                <w:tcPr/>
                <w:p>
                  <w:pPr>
                    <w:pStyle w:val="Compact"/>
                    <w:jc w:val="left"/>
                    <w:jc w:val="center"/>
                  </w:pPr>
                  <w:r>
                    <w:t xml:space="preserve">50.30</w:t>
                  </w:r>
                </w:p>
              </w:tc>
              <w:tc>
                <w:tcPr/>
                <w:p>
                  <w:pPr>
                    <w:pStyle w:val="Compact"/>
                    <w:jc w:val="left"/>
                    <w:jc w:val="center"/>
                  </w:pPr>
                  <w:r>
                    <w:t xml:space="preserve">11.98</w:t>
                  </w:r>
                </w:p>
              </w:tc>
              <w:tc>
                <w:tcPr/>
                <w:p>
                  <w:pPr>
                    <w:pStyle w:val="Compact"/>
                    <w:jc w:val="left"/>
                    <w:jc w:val="center"/>
                  </w:pPr>
                  <w:r>
                    <w:t xml:space="preserve">▁▁▃▇▅▇▅▁▂▁</w:t>
                  </w:r>
                </w:p>
              </w:tc>
            </w:tr>
            <w:tr>
              <w:tc>
                <w:tcPr/>
                <w:p>
                  <w:pPr>
                    <w:pStyle w:val="Compact"/>
                    <w:jc w:val="left"/>
                    <w:jc w:val="center"/>
                  </w:pPr>
                  <w:r>
                    <w:t xml:space="preserve">dom. goods share</w:t>
                  </w:r>
                </w:p>
              </w:tc>
              <w:tc>
                <w:tcPr/>
                <w:p>
                  <w:pPr>
                    <w:pStyle w:val="Compact"/>
                    <w:jc w:val="left"/>
                    <w:jc w:val="center"/>
                  </w:pPr>
                  <w:r>
                    <w:t xml:space="preserve">28.37</w:t>
                  </w:r>
                </w:p>
              </w:tc>
              <w:tc>
                <w:tcPr/>
                <w:p>
                  <w:pPr>
                    <w:pStyle w:val="Compact"/>
                    <w:jc w:val="left"/>
                    <w:jc w:val="center"/>
                  </w:pPr>
                  <w:r>
                    <w:t xml:space="preserve">11.11</w:t>
                  </w:r>
                </w:p>
              </w:tc>
              <w:tc>
                <w:tcPr/>
                <w:p>
                  <w:pPr>
                    <w:pStyle w:val="Compact"/>
                    <w:jc w:val="left"/>
                    <w:jc w:val="center"/>
                  </w:pPr>
                  <w:r>
                    <w:t xml:space="preserve">▃▄▇▇▄▂</w:t>
                  </w:r>
                </w:p>
              </w:tc>
              <w:tc>
                <w:tcPr/>
                <w:p>
                  <w:pPr>
                    <w:pStyle w:val="Compact"/>
                    <w:jc w:val="left"/>
                    <w:jc w:val="center"/>
                  </w:pPr>
                  <w:r>
                    <w:t xml:space="preserve">28.60</w:t>
                  </w:r>
                </w:p>
              </w:tc>
              <w:tc>
                <w:tcPr/>
                <w:p>
                  <w:pPr>
                    <w:pStyle w:val="Compact"/>
                    <w:jc w:val="left"/>
                    <w:jc w:val="center"/>
                  </w:pPr>
                  <w:r>
                    <w:t xml:space="preserve">8.57</w:t>
                  </w:r>
                </w:p>
              </w:tc>
              <w:tc>
                <w:tcPr/>
                <w:p>
                  <w:pPr>
                    <w:pStyle w:val="Compact"/>
                    <w:jc w:val="left"/>
                    <w:jc w:val="center"/>
                  </w:pPr>
                  <w:r>
                    <w:t xml:space="preserve">▁▂▂▃▅▇▅▄▂▁</w:t>
                  </w:r>
                </w:p>
              </w:tc>
            </w:tr>
          </w:tbl>
          <w:bookmarkEnd w:id="37"/>
          <w:p/>
        </w:tc>
      </w:tr>
    </w:tbl>
    <w:p>
      <w:pPr>
        <w:pStyle w:val="BodyText"/>
      </w:pPr>
      <w:hyperlink w:anchor="tbl-icio">
        <w:r>
          <w:rPr>
            <w:rStyle w:val="Hyperlink"/>
          </w:rPr>
          <w:t xml:space="preserve">Table 2</w:t>
        </w:r>
      </w:hyperlink>
      <w:r>
        <w:t xml:space="preserve"> </w:t>
      </w:r>
      <w:r>
        <w:t xml:space="preserve">shows Average and standard deviation as well as distribution of value added, output, domestic and foreign goods and services value and share. Unsurprisingly Indonesian manufacturing output and value added is higher than average of 5 countries, amid how large Indonesia is compared to its neighbor. Interestingly, Indonesian manufacturing value added from foreign goods and share is larger than the average, despite Indonesia’s protectionist tendency</w:t>
      </w:r>
      <w:r>
        <w:t xml:space="preserve"> </w:t>
      </w:r>
      <w:r>
        <w:t xml:space="preserve">(Patunru 2023)</w:t>
      </w:r>
      <w:r>
        <w:t xml:space="preserve">. Services, on the other hand, is different, as Indonesian services import lags compared to other countries.</w:t>
      </w:r>
    </w:p>
    <w:p>
      <w:pPr>
        <w:pStyle w:val="BodyText"/>
      </w:pPr>
      <w:r>
        <w:t xml:space="preserve">Lastly, we run 6 fixed effect panel regressions. The first panel consists of two indices, country and sector, which both dummies are used as a fixed effect. The other 5 panels are fixed effect regressions by country, where only sectoral fixed effect is used. This way, we can discuss difference in coefficient between selected countries in the region. We use output and value added as our</w:t>
      </w:r>
      <w:r>
        <w:t xml:space="preserve"> </w:t>
      </w:r>
      <m:oMath>
        <m:sSub>
          <m:e>
            <m:r>
              <m:t>y</m:t>
            </m:r>
          </m:e>
          <m:sub>
            <m:r>
              <m:t>i</m:t>
            </m:r>
          </m:sub>
        </m:sSub>
      </m:oMath>
      <w:r>
        <w:t xml:space="preserve">, so we will have 12 fixed effect panel regressions in total.</w:t>
      </w:r>
    </w:p>
    <w:p>
      <w:pPr>
        <w:pStyle w:val="BodyText"/>
      </w:pPr>
      <w:r>
        <w:t xml:space="preserve">The main variable of interest is</w:t>
      </w:r>
      <w:r>
        <w:t xml:space="preserve"> </w:t>
      </w:r>
      <m:oMath>
        <m:sSub>
          <m:e>
            <m:r>
              <m:t>β</m:t>
            </m:r>
          </m:e>
          <m:sub>
            <m:r>
              <m:t>f</m:t>
            </m:r>
          </m:sub>
        </m:sSub>
      </m:oMath>
      <w:r>
        <w:t xml:space="preserve">. The third unbundling suggests that since firms can now unbundle tasks up to service level, firms who can unbundle its services tasks will theoretically perform better, shown in its value added and output. Likewise, industries with easier services unbundling will benefited more from services trade since there will be more firms able to exploit the third unbundling in these industries. Therefore, we expect to see a</w:t>
      </w:r>
      <w:r>
        <w:t xml:space="preserve"> </w:t>
      </w:r>
      <m:oMath>
        <m:sSub>
          <m:e>
            <m:r>
              <m:t>β</m:t>
            </m:r>
          </m:e>
          <m:sub>
            <m:r>
              <m:t>f</m:t>
            </m:r>
          </m:sub>
        </m:sSub>
        <m:r>
          <m:rPr>
            <m:sty m:val="p"/>
          </m:rPr>
          <m:t>&gt;</m:t>
        </m:r>
        <m:r>
          <m:t>0</m:t>
        </m:r>
      </m:oMath>
      <w:r>
        <w:t xml:space="preserve">.</w:t>
      </w:r>
    </w:p>
    <w:p>
      <w:pPr>
        <w:pStyle w:val="BodyText"/>
      </w:pPr>
      <w:r>
        <w:t xml:space="preserve">Given the limitation of ICIO and its underlying sources (i.e., BaTIS), macro level analysis is added to complement the analysis. We use SEKI, Indonesian database compiled by Bank Indonesia, the central bank, to get services trade, manufactures trade, and manufacturing output. We perform ARDL analysis</w:t>
      </w:r>
      <w:r>
        <w:t xml:space="preserve"> </w:t>
      </w:r>
      <w:r>
        <w:t xml:space="preserve">(Pesaran and Smith 1995)</w:t>
      </w:r>
      <w:r>
        <w:t xml:space="preserve"> </w:t>
      </w:r>
      <w:r>
        <w:t xml:space="preserve">to see whether services trade cointegrates with manufacturing output and export.</w:t>
      </w:r>
    </w:p>
    <w:p>
      <w:pPr>
        <w:pStyle w:val="BodyText"/>
      </w:pPr>
      <w:r>
        <w:t xml:space="preserve">We run four specifications:</w:t>
      </w:r>
    </w:p>
    <w:p>
      <w:pPr>
        <w:pStyle w:val="BodyText"/>
      </w:pPr>
      <w:bookmarkStart w:id="38" w:name="eq-3"/>
      <m:oMathPara>
        <m:oMathParaPr>
          <m:jc m:val="center"/>
        </m:oMathParaPr>
        <m:oMath>
          <m:m>
            <m:mPr>
              <m:baseJc m:val="center"/>
              <m:plcHide m:val="on"/>
              <m:mcs>
                <m:mc>
                  <m:mcPr>
                    <m:mcJc m:val="right"/>
                    <m:count m:val="1"/>
                  </m:mcPr>
                </m:mc>
                <m:mc>
                  <m:mcPr>
                    <m:mcJc m:val="left"/>
                    <m:count m:val="1"/>
                  </m:mcPr>
                </m:mc>
              </m:mcs>
            </m:mPr>
            <m:mr>
              <m:e>
                <m:r>
                  <m:t>e</m:t>
                </m:r>
                <m:r>
                  <m:t>x</m:t>
                </m:r>
                <m:sSub>
                  <m:e>
                    <m:r>
                      <m:t>M</m:t>
                    </m:r>
                  </m:e>
                  <m:sub>
                    <m:r>
                      <m:t>t</m:t>
                    </m:r>
                  </m:sub>
                </m:sSub>
              </m:e>
              <m:e>
                <m:r>
                  <m:rPr>
                    <m:sty m:val="p"/>
                  </m:rPr>
                  <m:t>=</m:t>
                </m:r>
                <m:sSub>
                  <m:e>
                    <m:r>
                      <m:t>α</m:t>
                    </m:r>
                  </m:e>
                  <m:sub>
                    <m:r>
                      <m:t>0</m:t>
                    </m:r>
                  </m:sub>
                </m:sSub>
                <m:r>
                  <m:rPr>
                    <m:sty m:val="p"/>
                  </m:rPr>
                  <m:t>+</m:t>
                </m:r>
                <m:sSub>
                  <m:e>
                    <m:r>
                      <m:t>α</m:t>
                    </m:r>
                  </m:e>
                  <m:sub>
                    <m:r>
                      <m:t>1</m:t>
                    </m:r>
                  </m:sub>
                </m:sSub>
                <m:r>
                  <m:t>e</m:t>
                </m:r>
                <m:r>
                  <m:t>x</m:t>
                </m:r>
                <m:sSub>
                  <m:e>
                    <m:r>
                      <m:t>M</m:t>
                    </m:r>
                  </m:e>
                  <m:sub>
                    <m:r>
                      <m:t>t</m:t>
                    </m:r>
                    <m:r>
                      <m:rPr>
                        <m:sty m:val="p"/>
                      </m:rPr>
                      <m:t>−</m:t>
                    </m:r>
                    <m:r>
                      <m:t>1</m:t>
                    </m:r>
                  </m:sub>
                </m:sSub>
                <m:r>
                  <m:rPr>
                    <m:sty m:val="p"/>
                  </m:rPr>
                  <m:t>+</m:t>
                </m:r>
                <m:sSub>
                  <m:e>
                    <m:r>
                      <m:t>α</m:t>
                    </m:r>
                  </m:e>
                  <m:sub>
                    <m:r>
                      <m:t>2</m:t>
                    </m:r>
                  </m:sub>
                </m:sSub>
                <m:r>
                  <m:t>i</m:t>
                </m:r>
                <m:r>
                  <m:t>m</m:t>
                </m:r>
                <m:sSub>
                  <m:e>
                    <m:r>
                      <m:t>M</m:t>
                    </m:r>
                  </m:e>
                  <m:sub>
                    <m:r>
                      <m:t>t</m:t>
                    </m:r>
                  </m:sub>
                </m:sSub>
                <m:r>
                  <m:rPr>
                    <m:sty m:val="p"/>
                  </m:rPr>
                  <m:t>+</m:t>
                </m:r>
                <m:sSub>
                  <m:e>
                    <m:r>
                      <m:t>α</m:t>
                    </m:r>
                  </m:e>
                  <m:sub>
                    <m:r>
                      <m:t>3</m:t>
                    </m:r>
                  </m:sub>
                </m:sSub>
                <m:r>
                  <m:t>i</m:t>
                </m:r>
                <m:r>
                  <m:t>m</m:t>
                </m:r>
                <m:r>
                  <m:t>S</m:t>
                </m:r>
                <m:r>
                  <m:t>e</m:t>
                </m:r>
                <m:sSub>
                  <m:e>
                    <m:r>
                      <m:t>v</m:t>
                    </m:r>
                  </m:e>
                  <m:sub>
                    <m:r>
                      <m:t>t</m:t>
                    </m:r>
                  </m:sub>
                </m:sSub>
                <m:r>
                  <m:rPr>
                    <m:sty m:val="p"/>
                  </m:rPr>
                  <m:t>+</m:t>
                </m:r>
                <m:sSub>
                  <m:e>
                    <m:r>
                      <m:t>ν</m:t>
                    </m:r>
                  </m:e>
                  <m:sub>
                    <m:r>
                      <m:t>i</m:t>
                    </m:r>
                  </m:sub>
                </m:sSub>
              </m:e>
            </m:mr>
            <m:mr>
              <m:e>
                <m:r>
                  <m:t>e</m:t>
                </m:r>
                <m:r>
                  <m:t>x</m:t>
                </m:r>
                <m:sSub>
                  <m:e>
                    <m:r>
                      <m:t>M</m:t>
                    </m:r>
                  </m:e>
                  <m:sub>
                    <m:r>
                      <m:t>t</m:t>
                    </m:r>
                  </m:sub>
                </m:sSub>
              </m:e>
              <m:e>
                <m:r>
                  <m:rPr>
                    <m:sty m:val="p"/>
                  </m:rPr>
                  <m:t>=</m:t>
                </m:r>
                <m:sSub>
                  <m:e>
                    <m:r>
                      <m:t>γ</m:t>
                    </m:r>
                  </m:e>
                  <m:sub>
                    <m:r>
                      <m:t>0</m:t>
                    </m:r>
                  </m:sub>
                </m:sSub>
                <m:r>
                  <m:rPr>
                    <m:sty m:val="p"/>
                  </m:rPr>
                  <m:t>+</m:t>
                </m:r>
                <m:sSub>
                  <m:e>
                    <m:r>
                      <m:t>γ</m:t>
                    </m:r>
                  </m:e>
                  <m:sub>
                    <m:r>
                      <m:t>1</m:t>
                    </m:r>
                  </m:sub>
                </m:sSub>
                <m:r>
                  <m:t>e</m:t>
                </m:r>
                <m:r>
                  <m:t>x</m:t>
                </m:r>
                <m:sSub>
                  <m:e>
                    <m:r>
                      <m:t>M</m:t>
                    </m:r>
                  </m:e>
                  <m:sub>
                    <m:r>
                      <m:t>t</m:t>
                    </m:r>
                    <m:r>
                      <m:rPr>
                        <m:sty m:val="p"/>
                      </m:rPr>
                      <m:t>−</m:t>
                    </m:r>
                    <m:r>
                      <m:t>1</m:t>
                    </m:r>
                  </m:sub>
                </m:sSub>
                <m:r>
                  <m:rPr>
                    <m:sty m:val="p"/>
                  </m:rPr>
                  <m:t>+</m:t>
                </m:r>
                <m:sSub>
                  <m:e>
                    <m:r>
                      <m:t>γ</m:t>
                    </m:r>
                  </m:e>
                  <m:sub>
                    <m:r>
                      <m:t>2</m:t>
                    </m:r>
                  </m:sub>
                </m:sSub>
                <m:r>
                  <m:t>i</m:t>
                </m:r>
                <m:r>
                  <m:t>m</m:t>
                </m:r>
                <m:sSub>
                  <m:e>
                    <m:r>
                      <m:t>M</m:t>
                    </m:r>
                  </m:e>
                  <m:sub>
                    <m:r>
                      <m:t>t</m:t>
                    </m:r>
                  </m:sub>
                </m:sSub>
                <m:r>
                  <m:rPr>
                    <m:sty m:val="p"/>
                  </m:rPr>
                  <m:t>+</m:t>
                </m:r>
                <m:sSub>
                  <m:e>
                    <m:r>
                      <m:t>γ</m:t>
                    </m:r>
                  </m:e>
                  <m:sub>
                    <m:r>
                      <m:t>3</m:t>
                    </m:r>
                  </m:sub>
                </m:sSub>
                <m:r>
                  <m:t>i</m:t>
                </m:r>
                <m:r>
                  <m:t>m</m:t>
                </m:r>
                <m:r>
                  <m:t>S</m:t>
                </m:r>
                <m:r>
                  <m:t>e</m:t>
                </m:r>
                <m:sSub>
                  <m:e>
                    <m:r>
                      <m:t>v</m:t>
                    </m:r>
                  </m:e>
                  <m:sub>
                    <m:r>
                      <m:t>t</m:t>
                    </m:r>
                  </m:sub>
                </m:sSub>
                <m:r>
                  <m:rPr>
                    <m:sty m:val="p"/>
                  </m:rPr>
                  <m:t>+</m:t>
                </m:r>
                <m:sSub>
                  <m:e>
                    <m:r>
                      <m:t>γ</m:t>
                    </m:r>
                  </m:e>
                  <m:sub>
                    <m:r>
                      <m:t>4</m:t>
                    </m:r>
                  </m:sub>
                </m:sSub>
                <m:r>
                  <m:t>i</m:t>
                </m:r>
                <m:r>
                  <m:t>m</m:t>
                </m:r>
                <m:sSub>
                  <m:e>
                    <m:r>
                      <m:t>M</m:t>
                    </m:r>
                  </m:e>
                  <m:sub>
                    <m:r>
                      <m:t>t</m:t>
                    </m:r>
                    <m:r>
                      <m:rPr>
                        <m:sty m:val="p"/>
                      </m:rPr>
                      <m:t>−</m:t>
                    </m:r>
                    <m:r>
                      <m:t>1</m:t>
                    </m:r>
                  </m:sub>
                </m:sSub>
                <m:r>
                  <m:rPr>
                    <m:sty m:val="p"/>
                  </m:rPr>
                  <m:t>+</m:t>
                </m:r>
                <m:sSub>
                  <m:e>
                    <m:r>
                      <m:t>γ</m:t>
                    </m:r>
                  </m:e>
                  <m:sub>
                    <m:r>
                      <m:t>5</m:t>
                    </m:r>
                  </m:sub>
                </m:sSub>
                <m:r>
                  <m:t>i</m:t>
                </m:r>
                <m:r>
                  <m:t>m</m:t>
                </m:r>
                <m:r>
                  <m:t>S</m:t>
                </m:r>
                <m:r>
                  <m:t>e</m:t>
                </m:r>
                <m:sSub>
                  <m:e>
                    <m:r>
                      <m:t>v</m:t>
                    </m:r>
                  </m:e>
                  <m:sub>
                    <m:r>
                      <m:t>t</m:t>
                    </m:r>
                    <m:r>
                      <m:rPr>
                        <m:sty m:val="p"/>
                      </m:rPr>
                      <m:t>−</m:t>
                    </m:r>
                    <m:r>
                      <m:t>1</m:t>
                    </m:r>
                  </m:sub>
                </m:sSub>
                <m:r>
                  <m:rPr>
                    <m:sty m:val="p"/>
                  </m:rPr>
                  <m:t>+</m:t>
                </m:r>
                <m:sSub>
                  <m:e>
                    <m:r>
                      <m:t>υ</m:t>
                    </m:r>
                  </m:e>
                  <m:sub>
                    <m:r>
                      <m:t>i</m:t>
                    </m:r>
                  </m:sub>
                </m:sSub>
              </m:e>
            </m:mr>
            <m:mr>
              <m:e>
                <m:r>
                  <m:t>p</m:t>
                </m:r>
                <m:r>
                  <m:t>d</m:t>
                </m:r>
                <m:sSub>
                  <m:e>
                    <m:r>
                      <m:t>b</m:t>
                    </m:r>
                  </m:e>
                  <m:sub>
                    <m:r>
                      <m:t>t</m:t>
                    </m:r>
                  </m:sub>
                </m:sSub>
              </m:e>
              <m:e>
                <m:r>
                  <m:rPr>
                    <m:sty m:val="p"/>
                  </m:rPr>
                  <m:t>=</m:t>
                </m:r>
                <m:sSub>
                  <m:e>
                    <m:r>
                      <m:t>δ</m:t>
                    </m:r>
                  </m:e>
                  <m:sub>
                    <m:r>
                      <m:t>0</m:t>
                    </m:r>
                  </m:sub>
                </m:sSub>
                <m:r>
                  <m:rPr>
                    <m:sty m:val="p"/>
                  </m:rPr>
                  <m:t>+</m:t>
                </m:r>
                <m:sSub>
                  <m:e>
                    <m:r>
                      <m:t>δ</m:t>
                    </m:r>
                  </m:e>
                  <m:sub>
                    <m:r>
                      <m:t>1</m:t>
                    </m:r>
                  </m:sub>
                </m:sSub>
                <m:r>
                  <m:t>e</m:t>
                </m:r>
                <m:r>
                  <m:t>x</m:t>
                </m:r>
                <m:sSub>
                  <m:e>
                    <m:r>
                      <m:t>M</m:t>
                    </m:r>
                  </m:e>
                  <m:sub>
                    <m:r>
                      <m:t>t</m:t>
                    </m:r>
                    <m:r>
                      <m:rPr>
                        <m:sty m:val="p"/>
                      </m:rPr>
                      <m:t>−</m:t>
                    </m:r>
                    <m:r>
                      <m:t>1</m:t>
                    </m:r>
                  </m:sub>
                </m:sSub>
                <m:r>
                  <m:rPr>
                    <m:sty m:val="p"/>
                  </m:rPr>
                  <m:t>+</m:t>
                </m:r>
                <m:sSub>
                  <m:e>
                    <m:r>
                      <m:t>δ</m:t>
                    </m:r>
                  </m:e>
                  <m:sub>
                    <m:r>
                      <m:t>2</m:t>
                    </m:r>
                  </m:sub>
                </m:sSub>
                <m:r>
                  <m:t>i</m:t>
                </m:r>
                <m:r>
                  <m:t>m</m:t>
                </m:r>
                <m:sSub>
                  <m:e>
                    <m:r>
                      <m:t>M</m:t>
                    </m:r>
                  </m:e>
                  <m:sub>
                    <m:r>
                      <m:t>t</m:t>
                    </m:r>
                  </m:sub>
                </m:sSub>
                <m:r>
                  <m:rPr>
                    <m:sty m:val="p"/>
                  </m:rPr>
                  <m:t>+</m:t>
                </m:r>
                <m:sSub>
                  <m:e>
                    <m:r>
                      <m:t>δ</m:t>
                    </m:r>
                  </m:e>
                  <m:sub>
                    <m:r>
                      <m:t>3</m:t>
                    </m:r>
                  </m:sub>
                </m:sSub>
                <m:r>
                  <m:t>i</m:t>
                </m:r>
                <m:r>
                  <m:t>m</m:t>
                </m:r>
                <m:r>
                  <m:t>S</m:t>
                </m:r>
                <m:r>
                  <m:t>e</m:t>
                </m:r>
                <m:sSub>
                  <m:e>
                    <m:r>
                      <m:t>v</m:t>
                    </m:r>
                  </m:e>
                  <m:sub>
                    <m:r>
                      <m:t>t</m:t>
                    </m:r>
                  </m:sub>
                </m:sSub>
                <m:r>
                  <m:rPr>
                    <m:sty m:val="p"/>
                  </m:rPr>
                  <m:t>+</m:t>
                </m:r>
                <m:sSub>
                  <m:e>
                    <m:r>
                      <m:t>ω</m:t>
                    </m:r>
                  </m:e>
                  <m:sub>
                    <m:r>
                      <m:t>i</m:t>
                    </m:r>
                  </m:sub>
                </m:sSub>
              </m:e>
            </m:mr>
            <m:mr>
              <m:e>
                <m:r>
                  <m:t>p</m:t>
                </m:r>
                <m:r>
                  <m:t>d</m:t>
                </m:r>
                <m:sSub>
                  <m:e>
                    <m:r>
                      <m:t>b</m:t>
                    </m:r>
                  </m:e>
                  <m:sub>
                    <m:r>
                      <m:t>t</m:t>
                    </m:r>
                  </m:sub>
                </m:sSub>
              </m:e>
              <m:e>
                <m:r>
                  <m:rPr>
                    <m:sty m:val="p"/>
                  </m:rPr>
                  <m:t>=</m:t>
                </m:r>
                <m:sSub>
                  <m:e>
                    <m:r>
                      <m:t>θ</m:t>
                    </m:r>
                  </m:e>
                  <m:sub>
                    <m:r>
                      <m:t>0</m:t>
                    </m:r>
                  </m:sub>
                </m:sSub>
                <m:r>
                  <m:rPr>
                    <m:sty m:val="p"/>
                  </m:rPr>
                  <m:t>+</m:t>
                </m:r>
                <m:sSub>
                  <m:e>
                    <m:r>
                      <m:t>θ</m:t>
                    </m:r>
                  </m:e>
                  <m:sub>
                    <m:r>
                      <m:t>1</m:t>
                    </m:r>
                  </m:sub>
                </m:sSub>
                <m:r>
                  <m:t>e</m:t>
                </m:r>
                <m:r>
                  <m:t>x</m:t>
                </m:r>
                <m:sSub>
                  <m:e>
                    <m:r>
                      <m:t>M</m:t>
                    </m:r>
                  </m:e>
                  <m:sub>
                    <m:r>
                      <m:t>t</m:t>
                    </m:r>
                    <m:r>
                      <m:rPr>
                        <m:sty m:val="p"/>
                      </m:rPr>
                      <m:t>−</m:t>
                    </m:r>
                    <m:r>
                      <m:t>1</m:t>
                    </m:r>
                  </m:sub>
                </m:sSub>
                <m:r>
                  <m:rPr>
                    <m:sty m:val="p"/>
                  </m:rPr>
                  <m:t>+</m:t>
                </m:r>
                <m:sSub>
                  <m:e>
                    <m:r>
                      <m:t>θ</m:t>
                    </m:r>
                  </m:e>
                  <m:sub>
                    <m:r>
                      <m:t>2</m:t>
                    </m:r>
                  </m:sub>
                </m:sSub>
                <m:r>
                  <m:t>i</m:t>
                </m:r>
                <m:r>
                  <m:t>m</m:t>
                </m:r>
                <m:sSub>
                  <m:e>
                    <m:r>
                      <m:t>M</m:t>
                    </m:r>
                  </m:e>
                  <m:sub>
                    <m:r>
                      <m:t>t</m:t>
                    </m:r>
                  </m:sub>
                </m:sSub>
                <m:r>
                  <m:rPr>
                    <m:sty m:val="p"/>
                  </m:rPr>
                  <m:t>+</m:t>
                </m:r>
                <m:sSub>
                  <m:e>
                    <m:r>
                      <m:t>θ</m:t>
                    </m:r>
                  </m:e>
                  <m:sub>
                    <m:r>
                      <m:t>3</m:t>
                    </m:r>
                  </m:sub>
                </m:sSub>
                <m:r>
                  <m:t>i</m:t>
                </m:r>
                <m:r>
                  <m:t>m</m:t>
                </m:r>
                <m:r>
                  <m:t>S</m:t>
                </m:r>
                <m:r>
                  <m:t>e</m:t>
                </m:r>
                <m:sSub>
                  <m:e>
                    <m:r>
                      <m:t>v</m:t>
                    </m:r>
                  </m:e>
                  <m:sub>
                    <m:r>
                      <m:t>t</m:t>
                    </m:r>
                  </m:sub>
                </m:sSub>
                <m:r>
                  <m:rPr>
                    <m:sty m:val="p"/>
                  </m:rPr>
                  <m:t>+</m:t>
                </m:r>
                <m:sSub>
                  <m:e>
                    <m:r>
                      <m:t>θ</m:t>
                    </m:r>
                  </m:e>
                  <m:sub>
                    <m:r>
                      <m:t>4</m:t>
                    </m:r>
                  </m:sub>
                </m:sSub>
                <m:r>
                  <m:t>i</m:t>
                </m:r>
                <m:r>
                  <m:t>m</m:t>
                </m:r>
                <m:sSub>
                  <m:e>
                    <m:r>
                      <m:t>M</m:t>
                    </m:r>
                  </m:e>
                  <m:sub>
                    <m:r>
                      <m:t>t</m:t>
                    </m:r>
                    <m:r>
                      <m:rPr>
                        <m:sty m:val="p"/>
                      </m:rPr>
                      <m:t>−</m:t>
                    </m:r>
                    <m:r>
                      <m:t>1</m:t>
                    </m:r>
                  </m:sub>
                </m:sSub>
                <m:r>
                  <m:rPr>
                    <m:sty m:val="p"/>
                  </m:rPr>
                  <m:t>+</m:t>
                </m:r>
                <m:sSub>
                  <m:e>
                    <m:r>
                      <m:t>θ</m:t>
                    </m:r>
                  </m:e>
                  <m:sub>
                    <m:r>
                      <m:t>5</m:t>
                    </m:r>
                  </m:sub>
                </m:sSub>
                <m:r>
                  <m:t>i</m:t>
                </m:r>
                <m:r>
                  <m:t>m</m:t>
                </m:r>
                <m:r>
                  <m:t>S</m:t>
                </m:r>
                <m:r>
                  <m:t>e</m:t>
                </m:r>
                <m:sSub>
                  <m:e>
                    <m:r>
                      <m:t>v</m:t>
                    </m:r>
                  </m:e>
                  <m:sub>
                    <m:r>
                      <m:t>t</m:t>
                    </m:r>
                    <m:r>
                      <m:rPr>
                        <m:sty m:val="p"/>
                      </m:rPr>
                      <m:t>−</m:t>
                    </m:r>
                    <m:r>
                      <m:t>1</m:t>
                    </m:r>
                  </m:sub>
                </m:sSub>
                <m:r>
                  <m:rPr>
                    <m:sty m:val="p"/>
                  </m:rPr>
                  <m:t>+</m:t>
                </m:r>
                <m:sSub>
                  <m:e>
                    <m:r>
                      <m:t>η</m:t>
                    </m:r>
                  </m:e>
                  <m:sub>
                    <m:r>
                      <m:t>i</m:t>
                    </m:r>
                  </m:sub>
                </m:sSub>
              </m:e>
            </m:mr>
          </m:m>
          <m:r>
            <m:t>  </m:t>
          </m:r>
          <m:d>
            <m:dPr>
              <m:begChr m:val="("/>
              <m:endChr m:val=")"/>
              <m:sepChr m:val=""/>
              <m:grow/>
            </m:dPr>
            <m:e>
              <m:r>
                <m:t>3</m:t>
              </m:r>
            </m:e>
          </m:d>
        </m:oMath>
      </m:oMathPara>
      <w:bookmarkEnd w:id="38"/>
    </w:p>
    <w:p>
      <w:pPr>
        <w:pStyle w:val="FirstParagraph"/>
      </w:pPr>
      <w:r>
        <w:t xml:space="preserve">where</w:t>
      </w:r>
      <w:r>
        <w:t xml:space="preserve"> </w:t>
      </w:r>
      <m:oMath>
        <m:r>
          <m:t>e</m:t>
        </m:r>
        <m:r>
          <m:t>x</m:t>
        </m:r>
        <m:r>
          <m:t>M</m:t>
        </m:r>
      </m:oMath>
      <w:r>
        <w:t xml:space="preserve"> </w:t>
      </w:r>
      <w:r>
        <w:t xml:space="preserve">is log manufacturing exports,</w:t>
      </w:r>
      <w:r>
        <w:t xml:space="preserve"> </w:t>
      </w:r>
      <m:oMath>
        <m:r>
          <m:t>p</m:t>
        </m:r>
        <m:r>
          <m:t>d</m:t>
        </m:r>
        <m:r>
          <m:t>b</m:t>
        </m:r>
      </m:oMath>
      <w:r>
        <w:t xml:space="preserve"> </w:t>
      </w:r>
      <w:r>
        <w:t xml:space="preserve">is log manufacturing GDP,</w:t>
      </w:r>
      <w:r>
        <w:t xml:space="preserve"> </w:t>
      </w:r>
      <m:oMath>
        <m:r>
          <m:t>i</m:t>
        </m:r>
        <m:r>
          <m:t>m</m:t>
        </m:r>
        <m:r>
          <m:t>M</m:t>
        </m:r>
      </m:oMath>
      <w:r>
        <w:t xml:space="preserve"> </w:t>
      </w:r>
      <w:r>
        <w:t xml:space="preserve">is log manufacturing imports and</w:t>
      </w:r>
      <w:r>
        <w:t xml:space="preserve"> </w:t>
      </w:r>
      <m:oMath>
        <m:r>
          <m:t>i</m:t>
        </m:r>
        <m:r>
          <m:t>m</m:t>
        </m:r>
        <m:r>
          <m:t>S</m:t>
        </m:r>
        <m:r>
          <m:t>e</m:t>
        </m:r>
        <m:r>
          <m:t>v</m:t>
        </m:r>
      </m:oMath>
      <w:r>
        <w:t xml:space="preserve"> </w:t>
      </w:r>
      <w:r>
        <w:t xml:space="preserve">is log services imports, all for Indonesian level in time</w:t>
      </w:r>
      <w:r>
        <w:t xml:space="preserve"> </w:t>
      </w:r>
      <m:oMath>
        <m:r>
          <m:t>t</m:t>
        </m:r>
      </m:oMath>
      <w:r>
        <w:t xml:space="preserve">, where</w:t>
      </w:r>
      <w:r>
        <w:t xml:space="preserve"> </w:t>
      </w:r>
      <m:oMath>
        <m:r>
          <m:t>t</m:t>
        </m:r>
      </m:oMath>
      <w:r>
        <w:t xml:space="preserve"> </w:t>
      </w:r>
      <w:r>
        <w:t xml:space="preserve">is from 2005 to 2023. The data availability is restricted by the services import which starts from 2005 in the SEKI data. Specifications that we run are</w:t>
      </w:r>
      <w:r>
        <w:t xml:space="preserve"> </w:t>
      </w:r>
      <w:r>
        <w:rPr>
          <w:rStyle w:val="VerbatimChar"/>
        </w:rPr>
        <w:t xml:space="preserve">ARDL(1,0,0)</w:t>
      </w:r>
      <w:r>
        <w:t xml:space="preserve">, the least restrictive, and</w:t>
      </w:r>
      <w:r>
        <w:t xml:space="preserve"> </w:t>
      </w:r>
      <w:r>
        <w:rPr>
          <w:rStyle w:val="VerbatimChar"/>
        </w:rPr>
        <w:t xml:space="preserve">ARDL(1,1,1)</w:t>
      </w:r>
      <w:r>
        <w:t xml:space="preserve"> </w:t>
      </w:r>
      <w:r>
        <w:t xml:space="preserve">which is considered from AIC, BIC and RMSE</w:t>
      </w:r>
      <w:r>
        <w:t xml:space="preserve"> </w:t>
      </w:r>
      <w:r>
        <w:t xml:space="preserve">(Pesaran and Smith 1995; Natsiopoulos and Tzeremes 2022)</w:t>
      </w:r>
      <w:r>
        <w:t xml:space="preserve">.</w:t>
      </w:r>
    </w:p>
    <w:bookmarkEnd w:id="39"/>
    <w:bookmarkStart w:id="103" w:name="discussions"/>
    <w:p>
      <w:pPr>
        <w:pStyle w:val="Heading2"/>
      </w:pPr>
      <w:r>
        <w:t xml:space="preserve">Discussions</w:t>
      </w:r>
    </w:p>
    <w:bookmarkStart w:id="91" w:name="indonesian-trade-in-services"/>
    <w:p>
      <w:pPr>
        <w:pStyle w:val="Heading3"/>
      </w:pPr>
      <w:r>
        <w:t xml:space="preserve">Indonesian trade in services</w:t>
      </w:r>
    </w:p>
    <w:p>
      <w:pPr>
        <w:pStyle w:val="FirstParagraph"/>
      </w:pPr>
      <w:hyperlink w:anchor="fig-S">
        <w:r>
          <w:rPr>
            <w:rStyle w:val="Hyperlink"/>
          </w:rPr>
          <w:t xml:space="preserve">Figure 3</w:t>
        </w:r>
      </w:hyperlink>
      <w:r>
        <w:t xml:space="preserve"> </w:t>
      </w:r>
      <w:r>
        <w:t xml:space="preserve">shows total trade in services in 2021 in million current USD taken from BaTIS. Categories are based on the</w:t>
      </w:r>
      <w:r>
        <w:t xml:space="preserve"> </w:t>
      </w:r>
      <w:hyperlink w:anchor="tbl-1">
        <w:r>
          <w:rPr>
            <w:rStyle w:val="Hyperlink"/>
          </w:rPr>
          <w:t xml:space="preserve">Table 1</w:t>
        </w:r>
      </w:hyperlink>
      <w:r>
        <w:t xml:space="preserve">.</w:t>
      </w:r>
      <w:r>
        <w:t xml:space="preserve"> </w:t>
      </w:r>
      <w:hyperlink w:anchor="fig-CX">
        <w:r>
          <w:rPr>
            <w:rStyle w:val="Hyperlink"/>
          </w:rPr>
          <w:t xml:space="preserve">Figure 3 (a)</w:t>
        </w:r>
      </w:hyperlink>
      <w:r>
        <w:t xml:space="preserve"> </w:t>
      </w:r>
      <w:r>
        <w:t xml:space="preserve">and</w:t>
      </w:r>
      <w:r>
        <w:t xml:space="preserve"> </w:t>
      </w:r>
      <w:hyperlink w:anchor="fig-CM">
        <w:r>
          <w:rPr>
            <w:rStyle w:val="Hyperlink"/>
          </w:rPr>
          <w:t xml:space="preserve">Figure 3 (b)</w:t>
        </w:r>
      </w:hyperlink>
      <w:r>
        <w:t xml:space="preserve"> </w:t>
      </w:r>
      <w:r>
        <w:t xml:space="preserve">shows Indonesia’s top 6 exporter and importer of services in 2021. Singapore is the most important partner in trade in services for Indonesia. China, on the other hand, is the main buyer of Indonesia’s services export. Looking at</w:t>
      </w:r>
      <w:r>
        <w:t xml:space="preserve"> </w:t>
      </w:r>
      <w:hyperlink w:anchor="fig-SX">
        <w:r>
          <w:rPr>
            <w:rStyle w:val="Hyperlink"/>
          </w:rPr>
          <w:t xml:space="preserve">Figure 3 (c)</w:t>
        </w:r>
      </w:hyperlink>
      <w:r>
        <w:t xml:space="preserve"> </w:t>
      </w:r>
      <w:r>
        <w:t xml:space="preserve">and</w:t>
      </w:r>
      <w:r>
        <w:t xml:space="preserve"> </w:t>
      </w:r>
      <w:hyperlink w:anchor="fig-SM">
        <w:r>
          <w:rPr>
            <w:rStyle w:val="Hyperlink"/>
          </w:rPr>
          <w:t xml:space="preserve">Figure 3 (d)</w:t>
        </w:r>
      </w:hyperlink>
      <w:r>
        <w:t xml:space="preserve">, It is evident that Indonesia’s imports dominates exports in all categories bar travel (SD). Additionally, the highest traded services in Indonesia are transport (SC) and business services (SJ), aligned with global trade statistics</w:t>
      </w:r>
      <w:r>
        <w:t xml:space="preserve"> </w:t>
      </w:r>
      <w:r>
        <w:t xml:space="preserve">(Liberatore et al. 2021)</w:t>
      </w:r>
      <w:r>
        <w:t xml:space="preserve">.</w:t>
      </w:r>
    </w:p>
    <w:bookmarkStart w:id="56" w:name="fig-S"/>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43" w:name="fig-CX"/>
                <w:p>
                  <w:pPr>
                    <w:pStyle w:val="Compact"/>
                    <w:jc w:val="center"/>
                    <w:jc w:val="left"/>
                  </w:pPr>
                  <w:r>
                    <w:drawing>
                      <wp:inline>
                        <wp:extent cx="2971800" cy="1857375"/>
                        <wp:effectExtent b="0" l="0" r="0" t="0"/>
                        <wp:docPr descr="" title="" id="41" name="Picture"/>
                        <a:graphic>
                          <a:graphicData uri="http://schemas.openxmlformats.org/drawingml/2006/picture">
                            <pic:pic>
                              <pic:nvPicPr>
                                <pic:cNvPr descr="plot/allcx.png" id="42" name="Picture"/>
                                <pic:cNvPicPr>
                                  <a:picLocks noChangeArrowheads="1" noChangeAspect="1"/>
                                </pic:cNvPicPr>
                              </pic:nvPicPr>
                              <pic:blipFill>
                                <a:blip r:embed="rId40"/>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Indonesia’s exports by partner, 2021</w:t>
                  </w:r>
                </w:p>
                <w:bookmarkEnd w:id="43"/>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47" w:name="fig-CM"/>
                <w:p>
                  <w:pPr>
                    <w:pStyle w:val="Compact"/>
                    <w:jc w:val="center"/>
                    <w:jc w:val="left"/>
                  </w:pPr>
                  <w:r>
                    <w:drawing>
                      <wp:inline>
                        <wp:extent cx="2971800" cy="1857375"/>
                        <wp:effectExtent b="0" l="0" r="0" t="0"/>
                        <wp:docPr descr="" title="" id="45" name="Picture"/>
                        <a:graphic>
                          <a:graphicData uri="http://schemas.openxmlformats.org/drawingml/2006/picture">
                            <pic:pic>
                              <pic:nvPicPr>
                                <pic:cNvPr descr="plot/allcm.png" id="46" name="Picture"/>
                                <pic:cNvPicPr>
                                  <a:picLocks noChangeArrowheads="1" noChangeAspect="1"/>
                                </pic:cNvPicPr>
                              </pic:nvPicPr>
                              <pic:blipFill>
                                <a:blip r:embed="rId44"/>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Indonesia’s exports by partner, 2021</w:t>
                  </w:r>
                </w:p>
                <w:bookmarkEnd w:id="47"/>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51" w:name="fig-SX"/>
                <w:p>
                  <w:pPr>
                    <w:pStyle w:val="Compact"/>
                    <w:jc w:val="center"/>
                    <w:jc w:val="left"/>
                  </w:pPr>
                  <w:r>
                    <w:drawing>
                      <wp:inline>
                        <wp:extent cx="2971800" cy="1857375"/>
                        <wp:effectExtent b="0" l="0" r="0" t="0"/>
                        <wp:docPr descr="" title="" id="49" name="Picture"/>
                        <a:graphic>
                          <a:graphicData uri="http://schemas.openxmlformats.org/drawingml/2006/picture">
                            <pic:pic>
                              <pic:nvPicPr>
                                <pic:cNvPr descr="plot/allsx.png" id="50" name="Picture"/>
                                <pic:cNvPicPr>
                                  <a:picLocks noChangeArrowheads="1" noChangeAspect="1"/>
                                </pic:cNvPicPr>
                              </pic:nvPicPr>
                              <pic:blipFill>
                                <a:blip r:embed="rId48"/>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Indonesia’s exports by sector, 2021</w:t>
                  </w:r>
                </w:p>
                <w:bookmarkEnd w:id="51"/>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7761"/>
      </w:tblGrid>
      <w:tr>
        <w:tc>
          <w:tcPr/>
          <w:tbl>
            <w:tblPr>
              <w:tblStyle w:val="Table"/>
              <w:tblW w:type="pct" w:w="4900"/>
              <w:tblLook w:firstRow="0" w:lastRow="0" w:firstColumn="0" w:lastColumn="0" w:noHBand="0" w:noVBand="0" w:val="0000"/>
              <w:jc w:val="start"/>
              <w:tblLayout w:type="fixed"/>
            </w:tblPr>
            <w:tblGrid>
              <w:gridCol w:w="7761"/>
            </w:tblGrid>
            <w:tr>
              <w:tc>
                <w:tcPr/>
                <w:bookmarkStart w:id="55" w:name="fig-SM"/>
                <w:p>
                  <w:pPr>
                    <w:pStyle w:val="Compact"/>
                    <w:jc w:val="center"/>
                    <w:jc w:val="left"/>
                  </w:pPr>
                  <w:r>
                    <w:drawing>
                      <wp:inline>
                        <wp:extent cx="2971800" cy="1857375"/>
                        <wp:effectExtent b="0" l="0" r="0" t="0"/>
                        <wp:docPr descr="" title="" id="53" name="Picture"/>
                        <a:graphic>
                          <a:graphicData uri="http://schemas.openxmlformats.org/drawingml/2006/picture">
                            <pic:pic>
                              <pic:nvPicPr>
                                <pic:cNvPr descr="plot/allsm.png" id="54" name="Picture"/>
                                <pic:cNvPicPr>
                                  <a:picLocks noChangeArrowheads="1" noChangeAspect="1"/>
                                </pic:cNvPicPr>
                              </pic:nvPicPr>
                              <pic:blipFill>
                                <a:blip r:embed="rId52"/>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Indonesia’s imports by sector, 2021</w:t>
                  </w:r>
                </w:p>
                <w:bookmarkEnd w:id="55"/>
              </w:tc>
            </w:tr>
          </w:tbl>
          <w:p/>
        </w:tc>
      </w:tr>
    </w:tbl>
    <w:p>
      <w:pPr>
        <w:pStyle w:val="BodyText"/>
      </w:pPr>
      <w:pPr>
        <w:spacing w:before="200"/>
        <w:pStyle w:val="ImageCaption"/>
      </w:pPr>
      <w:r>
        <w:t xml:space="preserve">Figure 3: Indonesia’s total services trade by categories, 2021</w:t>
      </w:r>
    </w:p>
    <w:bookmarkEnd w:id="56"/>
    <w:p>
      <w:pPr>
        <w:pStyle w:val="BodyText"/>
      </w:pPr>
      <w:r>
        <w:t xml:space="preserve">We then focuses on Indonesia’s four most important services. These are transport (SC), travel (SD), ICT services (SI) and other business services (SJ). Other business services includes consulting management, research and development, and trade-related services</w:t>
      </w:r>
      <w:r>
        <w:t xml:space="preserve"> </w:t>
      </w:r>
      <w:r>
        <w:t xml:space="preserve">(Liberatore et al. 2021)</w:t>
      </w:r>
      <w:r>
        <w:t xml:space="preserve">. We look at top 6 partners in these sectors annually from 2005-2021 as existed in BaTIS, which can be seen in</w:t>
      </w:r>
      <w:r>
        <w:t xml:space="preserve"> </w:t>
      </w:r>
      <w:hyperlink w:anchor="fig-X">
        <w:r>
          <w:rPr>
            <w:rStyle w:val="Hyperlink"/>
          </w:rPr>
          <w:t xml:space="preserve">Figure 4</w:t>
        </w:r>
      </w:hyperlink>
      <w:r>
        <w:t xml:space="preserve"> </w:t>
      </w:r>
      <w:r>
        <w:t xml:space="preserve">(exports) and</w:t>
      </w:r>
      <w:r>
        <w:t xml:space="preserve"> </w:t>
      </w:r>
      <w:hyperlink w:anchor="fig-M">
        <w:r>
          <w:rPr>
            <w:rStyle w:val="Hyperlink"/>
          </w:rPr>
          <w:t xml:space="preserve">Figure 5</w:t>
        </w:r>
      </w:hyperlink>
      <w:r>
        <w:t xml:space="preserve"> </w:t>
      </w:r>
      <w:r>
        <w:t xml:space="preserve">(imports). Some countries change positions in these top 6 from time to time. A sudden miss of a country does not mean it stops trading with Indonesia, it’s just they are removed from the top 6.</w:t>
      </w:r>
    </w:p>
    <w:bookmarkStart w:id="73" w:name="fig-X"/>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60" w:name="fig-SCX"/>
                <w:p>
                  <w:pPr>
                    <w:pStyle w:val="Compact"/>
                    <w:jc w:val="center"/>
                    <w:jc w:val="left"/>
                  </w:pPr>
                  <w:r>
                    <w:drawing>
                      <wp:inline>
                        <wp:extent cx="2971800" cy="1842702"/>
                        <wp:effectExtent b="0" l="0" r="0" t="0"/>
                        <wp:docPr descr="" title="" id="58" name="Picture"/>
                        <a:graphic>
                          <a:graphicData uri="http://schemas.openxmlformats.org/drawingml/2006/picture">
                            <pic:pic>
                              <pic:nvPicPr>
                                <pic:cNvPr descr="plot/SCEX.png" id="59" name="Picture"/>
                                <pic:cNvPicPr>
                                  <a:picLocks noChangeArrowheads="1" noChangeAspect="1"/>
                                </pic:cNvPicPr>
                              </pic:nvPicPr>
                              <pic:blipFill>
                                <a:blip r:embed="rId57"/>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Transport</w:t>
                  </w:r>
                </w:p>
                <w:bookmarkEnd w:id="60"/>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64" w:name="fig-SDX"/>
                <w:p>
                  <w:pPr>
                    <w:pStyle w:val="Compact"/>
                    <w:jc w:val="center"/>
                    <w:jc w:val="left"/>
                  </w:pPr>
                  <w:r>
                    <w:drawing>
                      <wp:inline>
                        <wp:extent cx="2971800" cy="1842702"/>
                        <wp:effectExtent b="0" l="0" r="0" t="0"/>
                        <wp:docPr descr="" title="" id="62" name="Picture"/>
                        <a:graphic>
                          <a:graphicData uri="http://schemas.openxmlformats.org/drawingml/2006/picture">
                            <pic:pic>
                              <pic:nvPicPr>
                                <pic:cNvPr descr="plot/SDEX.png" id="63" name="Picture"/>
                                <pic:cNvPicPr>
                                  <a:picLocks noChangeArrowheads="1" noChangeAspect="1"/>
                                </pic:cNvPicPr>
                              </pic:nvPicPr>
                              <pic:blipFill>
                                <a:blip r:embed="rId61"/>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Travel</w:t>
                  </w:r>
                </w:p>
                <w:bookmarkEnd w:id="64"/>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68" w:name="fig-SIX"/>
                <w:p>
                  <w:pPr>
                    <w:pStyle w:val="Compact"/>
                    <w:jc w:val="center"/>
                    <w:jc w:val="left"/>
                  </w:pPr>
                  <w:r>
                    <w:drawing>
                      <wp:inline>
                        <wp:extent cx="2971800" cy="1842702"/>
                        <wp:effectExtent b="0" l="0" r="0" t="0"/>
                        <wp:docPr descr="" title="" id="66" name="Picture"/>
                        <a:graphic>
                          <a:graphicData uri="http://schemas.openxmlformats.org/drawingml/2006/picture">
                            <pic:pic>
                              <pic:nvPicPr>
                                <pic:cNvPr descr="plot/SIEX.png" id="67" name="Picture"/>
                                <pic:cNvPicPr>
                                  <a:picLocks noChangeArrowheads="1" noChangeAspect="1"/>
                                </pic:cNvPicPr>
                              </pic:nvPicPr>
                              <pic:blipFill>
                                <a:blip r:embed="rId65"/>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ICT services</w:t>
                  </w:r>
                </w:p>
                <w:bookmarkEnd w:id="68"/>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7761"/>
      </w:tblGrid>
      <w:tr>
        <w:tc>
          <w:tcPr/>
          <w:tbl>
            <w:tblPr>
              <w:tblStyle w:val="Table"/>
              <w:tblW w:type="pct" w:w="4900"/>
              <w:tblLook w:firstRow="0" w:lastRow="0" w:firstColumn="0" w:lastColumn="0" w:noHBand="0" w:noVBand="0" w:val="0000"/>
              <w:jc w:val="start"/>
              <w:tblLayout w:type="fixed"/>
            </w:tblPr>
            <w:tblGrid>
              <w:gridCol w:w="7761"/>
            </w:tblGrid>
            <w:tr>
              <w:tc>
                <w:tcPr/>
                <w:bookmarkStart w:id="72" w:name="fig-SJX"/>
                <w:p>
                  <w:pPr>
                    <w:pStyle w:val="Compact"/>
                    <w:jc w:val="center"/>
                    <w:jc w:val="left"/>
                  </w:pPr>
                  <w:r>
                    <w:drawing>
                      <wp:inline>
                        <wp:extent cx="2971800" cy="1842702"/>
                        <wp:effectExtent b="0" l="0" r="0" t="0"/>
                        <wp:docPr descr="" title="" id="70" name="Picture"/>
                        <a:graphic>
                          <a:graphicData uri="http://schemas.openxmlformats.org/drawingml/2006/picture">
                            <pic:pic>
                              <pic:nvPicPr>
                                <pic:cNvPr descr="plot/SJEX.png" id="71" name="Picture"/>
                                <pic:cNvPicPr>
                                  <a:picLocks noChangeArrowheads="1" noChangeAspect="1"/>
                                </pic:cNvPicPr>
                              </pic:nvPicPr>
                              <pic:blipFill>
                                <a:blip r:embed="rId69"/>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Other business services</w:t>
                  </w:r>
                </w:p>
                <w:bookmarkEnd w:id="72"/>
              </w:tc>
            </w:tr>
          </w:tbl>
          <w:p/>
        </w:tc>
      </w:tr>
    </w:tbl>
    <w:p>
      <w:pPr>
        <w:pStyle w:val="BodyText"/>
      </w:pPr>
      <w:pPr>
        <w:spacing w:before="200"/>
        <w:pStyle w:val="ImageCaption"/>
      </w:pPr>
      <w:r>
        <w:t xml:space="preserve">Figure 4: Indonesia’s top 6 exporter destinations to 4 categories, 2005-2021</w:t>
      </w:r>
    </w:p>
    <w:bookmarkEnd w:id="73"/>
    <w:p>
      <w:pPr>
        <w:pStyle w:val="BodyText"/>
      </w:pPr>
      <w:r>
        <w:t xml:space="preserve"> </w:t>
      </w:r>
    </w:p>
    <w:bookmarkStart w:id="90" w:name="fig-M"/>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77" w:name="fig-SCM"/>
                <w:p>
                  <w:pPr>
                    <w:pStyle w:val="Compact"/>
                    <w:jc w:val="center"/>
                    <w:jc w:val="left"/>
                  </w:pPr>
                  <w:r>
                    <w:drawing>
                      <wp:inline>
                        <wp:extent cx="2971800" cy="1842702"/>
                        <wp:effectExtent b="0" l="0" r="0" t="0"/>
                        <wp:docPr descr="" title="" id="75" name="Picture"/>
                        <a:graphic>
                          <a:graphicData uri="http://schemas.openxmlformats.org/drawingml/2006/picture">
                            <pic:pic>
                              <pic:nvPicPr>
                                <pic:cNvPr descr="plot/SCIM.png" id="76" name="Picture"/>
                                <pic:cNvPicPr>
                                  <a:picLocks noChangeArrowheads="1" noChangeAspect="1"/>
                                </pic:cNvPicPr>
                              </pic:nvPicPr>
                              <pic:blipFill>
                                <a:blip r:embed="rId74"/>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Transport</w:t>
                  </w:r>
                </w:p>
                <w:bookmarkEnd w:id="77"/>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81" w:name="fig-SDM"/>
                <w:p>
                  <w:pPr>
                    <w:pStyle w:val="Compact"/>
                    <w:jc w:val="center"/>
                    <w:jc w:val="left"/>
                  </w:pPr>
                  <w:r>
                    <w:drawing>
                      <wp:inline>
                        <wp:extent cx="2971800" cy="1842702"/>
                        <wp:effectExtent b="0" l="0" r="0" t="0"/>
                        <wp:docPr descr="" title="" id="79" name="Picture"/>
                        <a:graphic>
                          <a:graphicData uri="http://schemas.openxmlformats.org/drawingml/2006/picture">
                            <pic:pic>
                              <pic:nvPicPr>
                                <pic:cNvPr descr="plot/SDIM.png" id="80" name="Picture"/>
                                <pic:cNvPicPr>
                                  <a:picLocks noChangeArrowheads="1" noChangeAspect="1"/>
                                </pic:cNvPicPr>
                              </pic:nvPicPr>
                              <pic:blipFill>
                                <a:blip r:embed="rId78"/>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Travel</w:t>
                  </w:r>
                </w:p>
                <w:bookmarkEnd w:id="81"/>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3880"/>
        <w:gridCol w:w="3880"/>
      </w:tblGrid>
      <w:tr>
        <w:tc>
          <w:tcPr/>
          <w:tbl>
            <w:tblPr>
              <w:tblStyle w:val="Table"/>
              <w:tblW w:type="pct" w:w="4900"/>
              <w:tblLook w:firstRow="0" w:lastRow="0" w:firstColumn="0" w:lastColumn="0" w:noHBand="0" w:noVBand="0" w:val="0000"/>
              <w:jc w:val="start"/>
              <w:tblLayout w:type="fixed"/>
            </w:tblPr>
            <w:tblGrid>
              <w:gridCol w:w="7761"/>
            </w:tblGrid>
            <w:tr>
              <w:tc>
                <w:tcPr/>
                <w:bookmarkStart w:id="85" w:name="fig-SIM"/>
                <w:p>
                  <w:pPr>
                    <w:pStyle w:val="Compact"/>
                    <w:jc w:val="center"/>
                    <w:jc w:val="left"/>
                  </w:pPr>
                  <w:r>
                    <w:drawing>
                      <wp:inline>
                        <wp:extent cx="2971800" cy="1842702"/>
                        <wp:effectExtent b="0" l="0" r="0" t="0"/>
                        <wp:docPr descr="" title="" id="83" name="Picture"/>
                        <a:graphic>
                          <a:graphicData uri="http://schemas.openxmlformats.org/drawingml/2006/picture">
                            <pic:pic>
                              <pic:nvPicPr>
                                <pic:cNvPr descr="plot/SIIM.png" id="84" name="Picture"/>
                                <pic:cNvPicPr>
                                  <a:picLocks noChangeArrowheads="1" noChangeAspect="1"/>
                                </pic:cNvPicPr>
                              </pic:nvPicPr>
                              <pic:blipFill>
                                <a:blip r:embed="rId82"/>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ICT services</w:t>
                  </w:r>
                </w:p>
                <w:bookmarkEnd w:id="85"/>
              </w:tc>
            </w:tr>
          </w:tbl>
          <w:p/>
        </w:tc>
        <w:tc>
          <w:tcPr/>
          <w:p>
            <w:pPr>
              <w:jc w:val="left"/>
            </w:pPr>
            <w:r>
              <w:t xml:space="preserve"> </w:t>
            </w:r>
          </w:p>
        </w:tc>
      </w:tr>
    </w:tbl>
    <w:p>
      <w:pPr>
        <w:framePr w:w="0" w:h="0" w:vAnchor="margin" w:hAnchor="margin" w:xAlign="right" w:yAlign="top"/>
      </w:pPr>
    </w:p>
    <w:tbl>
      <w:tblPr>
        <w:tblStyle w:val="Table"/>
        <w:tblW w:type="pct" w:w="4900"/>
        <w:tblLook w:firstRow="0" w:lastRow="0" w:firstColumn="0" w:lastColumn="0" w:noHBand="0" w:noVBand="0" w:val="0000"/>
        <w:jc w:val="start"/>
        <w:tblLayout w:type="fixed"/>
      </w:tblPr>
      <w:tblGrid>
        <w:gridCol w:w="7761"/>
      </w:tblGrid>
      <w:tr>
        <w:tc>
          <w:tcPr/>
          <w:tbl>
            <w:tblPr>
              <w:tblStyle w:val="Table"/>
              <w:tblW w:type="pct" w:w="4900"/>
              <w:tblLook w:firstRow="0" w:lastRow="0" w:firstColumn="0" w:lastColumn="0" w:noHBand="0" w:noVBand="0" w:val="0000"/>
              <w:jc w:val="start"/>
              <w:tblLayout w:type="fixed"/>
            </w:tblPr>
            <w:tblGrid>
              <w:gridCol w:w="7761"/>
            </w:tblGrid>
            <w:tr>
              <w:tc>
                <w:tcPr/>
                <w:bookmarkStart w:id="89" w:name="fig-SJM"/>
                <w:p>
                  <w:pPr>
                    <w:pStyle w:val="Compact"/>
                    <w:jc w:val="center"/>
                    <w:jc w:val="left"/>
                  </w:pPr>
                  <w:r>
                    <w:drawing>
                      <wp:inline>
                        <wp:extent cx="2971800" cy="1842702"/>
                        <wp:effectExtent b="0" l="0" r="0" t="0"/>
                        <wp:docPr descr="" title="" id="87" name="Picture"/>
                        <a:graphic>
                          <a:graphicData uri="http://schemas.openxmlformats.org/drawingml/2006/picture">
                            <pic:pic>
                              <pic:nvPicPr>
                                <pic:cNvPr descr="plot/SJIM.png" id="88" name="Picture"/>
                                <pic:cNvPicPr>
                                  <a:picLocks noChangeArrowheads="1" noChangeAspect="1"/>
                                </pic:cNvPicPr>
                              </pic:nvPicPr>
                              <pic:blipFill>
                                <a:blip r:embed="rId86"/>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Other business services</w:t>
                  </w:r>
                </w:p>
                <w:bookmarkEnd w:id="89"/>
              </w:tc>
            </w:tr>
          </w:tbl>
          <w:p/>
        </w:tc>
      </w:tr>
    </w:tbl>
    <w:p>
      <w:pPr>
        <w:pStyle w:val="BodyText"/>
      </w:pPr>
      <w:pPr>
        <w:spacing w:before="200"/>
        <w:pStyle w:val="ImageCaption"/>
      </w:pPr>
      <w:r>
        <w:t xml:space="preserve">Figure 5: Indonesia’s top 6 import sources in 4 categories, 2005-2021</w:t>
      </w:r>
    </w:p>
    <w:bookmarkEnd w:id="90"/>
    <w:p>
      <w:pPr>
        <w:pStyle w:val="BodyText"/>
      </w:pPr>
      <w:r>
        <w:t xml:space="preserve">Immediately,</w:t>
      </w:r>
      <w:r>
        <w:t xml:space="preserve"> </w:t>
      </w:r>
      <w:hyperlink w:anchor="fig-X">
        <w:r>
          <w:rPr>
            <w:rStyle w:val="Hyperlink"/>
          </w:rPr>
          <w:t xml:space="preserve">Figure 4</w:t>
        </w:r>
      </w:hyperlink>
      <w:r>
        <w:t xml:space="preserve"> </w:t>
      </w:r>
      <w:r>
        <w:t xml:space="preserve">and</w:t>
      </w:r>
      <w:r>
        <w:t xml:space="preserve"> </w:t>
      </w:r>
      <w:hyperlink w:anchor="fig-M">
        <w:r>
          <w:rPr>
            <w:rStyle w:val="Hyperlink"/>
          </w:rPr>
          <w:t xml:space="preserve">Figure 5</w:t>
        </w:r>
      </w:hyperlink>
      <w:r>
        <w:t xml:space="preserve"> </w:t>
      </w:r>
      <w:r>
        <w:t xml:space="preserve">show significant changes happened in 2020 and 2021, which corroborates the aggregated data in</w:t>
      </w:r>
      <w:r>
        <w:t xml:space="preserve"> </w:t>
      </w:r>
      <w:hyperlink w:anchor="fig-1">
        <w:r>
          <w:rPr>
            <w:rStyle w:val="Hyperlink"/>
          </w:rPr>
          <w:t xml:space="preserve">Figure 1</w:t>
        </w:r>
      </w:hyperlink>
      <w:r>
        <w:t xml:space="preserve">. This is likely due to the COVID-19 pandemic that restrict movement of people.</w:t>
      </w:r>
    </w:p>
    <w:p>
      <w:pPr>
        <w:pStyle w:val="BodyText"/>
      </w:pPr>
      <w:r>
        <w:t xml:space="preserve">This shock, however, affects differently between these four sectors. The transportation sector decrease quite significantly in 2020, but recovered relatively quickly in 2021. The impact in the business services is milder compared to the transportation sector. Meanwhile, we see a significant drop in travel services and have not recovered since. Meanwhile, ICT services are the winner here, with the top 6 partners experience significant increase in both 2020 and 2021.</w:t>
      </w:r>
    </w:p>
    <w:p>
      <w:pPr>
        <w:pStyle w:val="BodyText"/>
      </w:pPr>
      <w:r>
        <w:t xml:space="preserve">Singapore is indeed important in both export and import. Singapore relationship with Indonesia in trade in services dwarves the rest, and this is true for almost all sectors. Travel export is slightly the exception. China and Australia dominates as destinations for Indonesian travel export. In Indonesia, most travel exports comes mainly from tourism. Indeed, tourism is Indonesia’s main services export. Pre-2020, travel services from 6 top exporters far dominates the other 3 categories. Pandemic punishes travel exports more than other sectors and it affects Indonesia’s overall balance of trade in services.</w:t>
      </w:r>
    </w:p>
    <w:p>
      <w:pPr>
        <w:pStyle w:val="BodyText"/>
      </w:pPr>
      <w:r>
        <w:t xml:space="preserve">Overall, countries important for Indonesia in trade in services is not significantly different from trade in goods. Singapore leads, but there are also the US, some EU countries, and other RCEP member states. Trade agreements play a huge role in improving trade in services. Measures that affects movement of natural persons, and other non-tariff measures like computing requirement and investment list are crucial as trade in services can be done in 4 different modes that got affected by these rules.</w:t>
      </w:r>
    </w:p>
    <w:p>
      <w:pPr>
        <w:pStyle w:val="BodyText"/>
      </w:pPr>
      <w:r>
        <w:t xml:space="preserve">Typically, overseeing trade in services and regulatory environment required to increase flow of trade in services are more challenging than trade in goods. In Indonesia, these regulations are often oversaw by different Ministries, and typically discussed separately from other sectors or trade negotiations</w:t>
      </w:r>
      <w:r>
        <w:t xml:space="preserve"> </w:t>
      </w:r>
      <w:r>
        <w:t xml:space="preserve">(Magiera 2011; Lindblad 2015)</w:t>
      </w:r>
      <w:r>
        <w:t xml:space="preserve">. Discussing regulatory environment to improve trade in services would require coordination which is costly compared to trade in goods.</w:t>
      </w:r>
    </w:p>
    <w:p>
      <w:pPr>
        <w:pStyle w:val="BodyText"/>
      </w:pPr>
      <w:r>
        <w:t xml:space="preserve">For example, easing tourism visa requirement typically conducted unilaterally with no consultation with other ministries or any agreements. These kinds of regulation relies more on each Ministers than agreement mechanisms. While IJEPA doesn’t seem to affect trade in services much between Indonesia and Japan</w:t>
      </w:r>
      <w:r>
        <w:t xml:space="preserve"> </w:t>
      </w:r>
      <w:r>
        <w:t xml:space="preserve">(Syahputri and Gupta 2024)</w:t>
      </w:r>
      <w:r>
        <w:t xml:space="preserve">, IACEPA between Indonesia and Australia seems to improve Australian services export through investment in university and hospital.</w:t>
      </w:r>
    </w:p>
    <w:p>
      <w:pPr>
        <w:pStyle w:val="BodyText"/>
      </w:pPr>
      <w:r>
        <w:t xml:space="preserve">More importantly, easing services trade may benefit Indonesia through the third unbundling mechanisms. Many exported services are skill-intensive products, which arguably not Indonesia’s main strength. If these services are important in a production chain of final goods, then outsourcing services production (e.g., design and research) will benefit Indonesian manufacturing. The next section explores an indicative evidence toward this argument.</w:t>
      </w:r>
    </w:p>
    <w:bookmarkEnd w:id="91"/>
    <w:bookmarkStart w:id="102" w:name="manufacturing"/>
    <w:p>
      <w:pPr>
        <w:pStyle w:val="Heading3"/>
      </w:pPr>
      <w:r>
        <w:t xml:space="preserve">Manufacturing</w:t>
      </w:r>
    </w:p>
    <w:bookmarkStart w:id="94" w:name="icio-panel-regression"/>
    <w:p>
      <w:pPr>
        <w:pStyle w:val="Heading4"/>
      </w:pPr>
      <w:r>
        <w:t xml:space="preserve">ICIO Panel regression</w:t>
      </w:r>
    </w:p>
    <w:p>
      <w:pPr>
        <w:pStyle w:val="FirstParagraph"/>
      </w:pPr>
      <w:r>
        <w:t xml:space="preserve">We first turn to our panel regression shown in</w:t>
      </w:r>
      <w:r>
        <w:t xml:space="preserve"> </w:t>
      </w:r>
      <w:hyperlink w:anchor="eq-2">
        <w:r>
          <w:rPr>
            <w:rStyle w:val="Hyperlink"/>
          </w:rPr>
          <w:t xml:space="preserve">Equation 2</w:t>
        </w:r>
      </w:hyperlink>
      <w:r>
        <w:t xml:space="preserve">. As discussed, we run a total 12 regressions divided into two tables.</w:t>
      </w:r>
      <w:r>
        <w:t xml:space="preserve"> </w:t>
      </w:r>
      <w:hyperlink w:anchor="tbl-regv">
        <w:r>
          <w:rPr>
            <w:rStyle w:val="Hyperlink"/>
          </w:rPr>
          <w:t xml:space="preserve">Table 3</w:t>
        </w:r>
      </w:hyperlink>
      <w:r>
        <w:t xml:space="preserve"> </w:t>
      </w:r>
      <w:r>
        <w:t xml:space="preserve">shows results for log of value added as the dependent variable, while</w:t>
      </w:r>
      <w:r>
        <w:t xml:space="preserve"> </w:t>
      </w:r>
      <w:hyperlink w:anchor="tbl-rego">
        <w:r>
          <w:rPr>
            <w:rStyle w:val="Hyperlink"/>
          </w:rPr>
          <w:t xml:space="preserve">Table 4</w:t>
        </w:r>
      </w:hyperlink>
      <w:r>
        <w:t xml:space="preserve"> </w:t>
      </w:r>
      <w:r>
        <w:t xml:space="preserve">is on output. Each table has 6 regressions, which the first column show a result from all countries combined and the rest are from each countries.</w:t>
      </w:r>
    </w:p>
    <w:tbl>
      <w:tblPr>
        <w:tblStyle w:val="Table"/>
        <w:tblW w:type="pct" w:w="5000"/>
        <w:tblLook w:firstRow="0" w:lastRow="0" w:firstColumn="0" w:lastColumn="0" w:noHBand="0" w:noVBand="0" w:val="0000"/>
        <w:jc w:val="start"/>
        <w:tblLayout w:type="fixed"/>
      </w:tblPr>
      <w:tblGrid>
        <w:gridCol w:w="7920"/>
      </w:tblGrid>
      <w:tr>
        <w:tc>
          <w:tcPr/>
          <w:bookmarkStart w:id="92" w:name="tbl-regv"/>
          <w:p>
            <w:pPr>
              <w:jc w:val="center"/>
            </w:pPr>
            <w:pPr>
              <w:jc w:val="start"/>
              <w:spacing w:before="200"/>
              <w:pStyle w:val="ImageCaption"/>
            </w:pPr>
            <w:r>
              <w:t xml:space="preserve">Table 3: Panel regression of log manufacturing value added</w:t>
            </w:r>
          </w:p>
          <w:tbl>
            <w:tblPr>
              <w:tblStyle w:val="Table"/>
              <w:tblW w:type="pct" w:w="4691"/>
              <w:tblLook w:firstRow="1" w:lastRow="1" w:firstColumn="0" w:lastColumn="0" w:noHBand="0" w:noVBand="0" w:val="0020"/>
              <w:jc w:val="start"/>
              <w:tblLayout w:type="fixed"/>
            </w:tblPr>
            <w:tblGrid>
              <w:gridCol w:w="1173"/>
              <w:gridCol w:w="1075"/>
              <w:gridCol w:w="977"/>
              <w:gridCol w:w="977"/>
              <w:gridCol w:w="1075"/>
              <w:gridCol w:w="1075"/>
              <w:gridCol w:w="1075"/>
            </w:tblGrid>
            <w:tr>
              <w:trPr>
                <w:tblHeader w:val="true"/>
              </w:trPr>
              <w:tc>
                <w:tcPr/>
                <w:p>
                  <w:pPr>
                    <w:pStyle w:val="Compact"/>
                  </w:pPr>
                </w:p>
              </w:tc>
              <w:tc>
                <w:tcPr/>
                <w:p>
                  <w:pPr>
                    <w:pStyle w:val="Compact"/>
                    <w:jc w:val="left"/>
                    <w:jc w:val="center"/>
                  </w:pPr>
                  <w:r>
                    <w:t xml:space="preserve">all</w:t>
                  </w:r>
                </w:p>
              </w:tc>
              <w:tc>
                <w:tcPr/>
                <w:p>
                  <w:pPr>
                    <w:pStyle w:val="Compact"/>
                    <w:jc w:val="left"/>
                    <w:jc w:val="center"/>
                  </w:pPr>
                  <w:r>
                    <w:t xml:space="preserve">IDN</w:t>
                  </w:r>
                </w:p>
              </w:tc>
              <w:tc>
                <w:tcPr/>
                <w:p>
                  <w:pPr>
                    <w:pStyle w:val="Compact"/>
                    <w:jc w:val="left"/>
                    <w:jc w:val="center"/>
                  </w:pPr>
                  <w:r>
                    <w:t xml:space="preserve">SGP</w:t>
                  </w:r>
                </w:p>
              </w:tc>
              <w:tc>
                <w:tcPr/>
                <w:p>
                  <w:pPr>
                    <w:pStyle w:val="Compact"/>
                    <w:jc w:val="left"/>
                    <w:jc w:val="center"/>
                  </w:pPr>
                  <w:r>
                    <w:t xml:space="preserve">VNM</w:t>
                  </w:r>
                </w:p>
              </w:tc>
              <w:tc>
                <w:tcPr/>
                <w:p>
                  <w:pPr>
                    <w:pStyle w:val="Compact"/>
                    <w:jc w:val="left"/>
                    <w:jc w:val="center"/>
                  </w:pPr>
                  <w:r>
                    <w:t xml:space="preserve">THA</w:t>
                  </w:r>
                </w:p>
              </w:tc>
              <w:tc>
                <w:tcPr/>
                <w:p>
                  <w:pPr>
                    <w:pStyle w:val="Compact"/>
                    <w:jc w:val="left"/>
                    <w:jc w:val="center"/>
                  </w:pPr>
                  <w:r>
                    <w:t xml:space="preserve">MYS</w:t>
                  </w:r>
                </w:p>
              </w:tc>
            </w:tr>
            <w:tr>
              <w:tc>
                <w:tcPr/>
                <w:p>
                  <w:pPr>
                    <w:pStyle w:val="Compact"/>
                    <w:jc w:val="left"/>
                    <w:jc w:val="center"/>
                  </w:pPr>
                  <w:r>
                    <w:t xml:space="preserve">lfs</w:t>
                  </w:r>
                </w:p>
              </w:tc>
              <w:tc>
                <w:tcPr/>
                <w:p>
                  <w:pPr>
                    <w:pStyle w:val="Compact"/>
                    <w:jc w:val="left"/>
                    <w:jc w:val="center"/>
                  </w:pPr>
                  <w:r>
                    <w:t xml:space="preserve">0.159</w:t>
                  </w:r>
                </w:p>
              </w:tc>
              <w:tc>
                <w:tcPr/>
                <w:p>
                  <w:pPr>
                    <w:pStyle w:val="Compact"/>
                    <w:jc w:val="left"/>
                    <w:jc w:val="center"/>
                  </w:pPr>
                  <w:r>
                    <w:t xml:space="preserve">-0.207</w:t>
                  </w:r>
                </w:p>
              </w:tc>
              <w:tc>
                <w:tcPr/>
                <w:p>
                  <w:pPr>
                    <w:pStyle w:val="Compact"/>
                    <w:jc w:val="left"/>
                    <w:jc w:val="center"/>
                  </w:pPr>
                  <w:r>
                    <w:t xml:space="preserve">0.172</w:t>
                  </w:r>
                </w:p>
              </w:tc>
              <w:tc>
                <w:tcPr/>
                <w:p>
                  <w:pPr>
                    <w:pStyle w:val="Compact"/>
                    <w:jc w:val="left"/>
                    <w:jc w:val="center"/>
                  </w:pPr>
                  <w:r>
                    <w:t xml:space="preserve">0.358**</w:t>
                  </w:r>
                </w:p>
              </w:tc>
              <w:tc>
                <w:tcPr/>
                <w:p>
                  <w:pPr>
                    <w:pStyle w:val="Compact"/>
                    <w:jc w:val="left"/>
                    <w:jc w:val="center"/>
                  </w:pPr>
                  <w:r>
                    <w:t xml:space="preserve">-0.175*</w:t>
                  </w:r>
                </w:p>
              </w:tc>
              <w:tc>
                <w:tcPr/>
                <w:p>
                  <w:pPr>
                    <w:pStyle w:val="Compact"/>
                    <w:jc w:val="left"/>
                    <w:jc w:val="center"/>
                  </w:pPr>
                  <w:r>
                    <w:t xml:space="preserve">0.082</w:t>
                  </w:r>
                </w:p>
              </w:tc>
            </w:tr>
            <w:tr>
              <w:tc>
                <w:tcPr/>
                <w:p>
                  <w:pPr>
                    <w:pStyle w:val="Compact"/>
                  </w:pPr>
                </w:p>
              </w:tc>
              <w:tc>
                <w:tcPr/>
                <w:p>
                  <w:pPr>
                    <w:pStyle w:val="Compact"/>
                    <w:jc w:val="left"/>
                    <w:jc w:val="center"/>
                  </w:pPr>
                  <w:r>
                    <w:t xml:space="preserve">(0.159)</w:t>
                  </w:r>
                </w:p>
              </w:tc>
              <w:tc>
                <w:tcPr/>
                <w:p>
                  <w:pPr>
                    <w:pStyle w:val="Compact"/>
                    <w:jc w:val="left"/>
                    <w:jc w:val="center"/>
                  </w:pPr>
                  <w:r>
                    <w:t xml:space="preserve">(0.283)</w:t>
                  </w:r>
                </w:p>
              </w:tc>
              <w:tc>
                <w:tcPr/>
                <w:p>
                  <w:pPr>
                    <w:pStyle w:val="Compact"/>
                    <w:jc w:val="left"/>
                    <w:jc w:val="center"/>
                  </w:pPr>
                  <w:r>
                    <w:t xml:space="preserve">(0.170)</w:t>
                  </w:r>
                </w:p>
              </w:tc>
              <w:tc>
                <w:tcPr/>
                <w:p>
                  <w:pPr>
                    <w:pStyle w:val="Compact"/>
                    <w:jc w:val="left"/>
                    <w:jc w:val="center"/>
                  </w:pPr>
                  <w:r>
                    <w:t xml:space="preserve">(0.094)</w:t>
                  </w:r>
                </w:p>
              </w:tc>
              <w:tc>
                <w:tcPr/>
                <w:p>
                  <w:pPr>
                    <w:pStyle w:val="Compact"/>
                    <w:jc w:val="left"/>
                    <w:jc w:val="center"/>
                  </w:pPr>
                  <w:r>
                    <w:t xml:space="preserve">(0.062)</w:t>
                  </w:r>
                </w:p>
              </w:tc>
              <w:tc>
                <w:tcPr/>
                <w:p>
                  <w:pPr>
                    <w:pStyle w:val="Compact"/>
                    <w:jc w:val="left"/>
                    <w:jc w:val="center"/>
                  </w:pPr>
                  <w:r>
                    <w:t xml:space="preserve">(0.264)</w:t>
                  </w:r>
                </w:p>
              </w:tc>
            </w:tr>
            <w:tr>
              <w:tc>
                <w:tcPr/>
                <w:p>
                  <w:pPr>
                    <w:pStyle w:val="Compact"/>
                    <w:jc w:val="left"/>
                    <w:jc w:val="center"/>
                  </w:pPr>
                  <w:r>
                    <w:t xml:space="preserve">lds</w:t>
                  </w:r>
                </w:p>
              </w:tc>
              <w:tc>
                <w:tcPr/>
                <w:p>
                  <w:pPr>
                    <w:pStyle w:val="Compact"/>
                    <w:jc w:val="left"/>
                    <w:jc w:val="center"/>
                  </w:pPr>
                  <w:r>
                    <w:t xml:space="preserve">0.708***</w:t>
                  </w:r>
                </w:p>
              </w:tc>
              <w:tc>
                <w:tcPr/>
                <w:p>
                  <w:pPr>
                    <w:pStyle w:val="Compact"/>
                    <w:jc w:val="left"/>
                    <w:jc w:val="center"/>
                  </w:pPr>
                  <w:r>
                    <w:t xml:space="preserve">0.735*</w:t>
                  </w:r>
                </w:p>
              </w:tc>
              <w:tc>
                <w:tcPr/>
                <w:p>
                  <w:pPr>
                    <w:pStyle w:val="Compact"/>
                    <w:jc w:val="left"/>
                    <w:jc w:val="center"/>
                  </w:pPr>
                  <w:r>
                    <w:t xml:space="preserve">0.587*</w:t>
                  </w:r>
                </w:p>
              </w:tc>
              <w:tc>
                <w:tcPr/>
                <w:p>
                  <w:pPr>
                    <w:pStyle w:val="Compact"/>
                    <w:jc w:val="left"/>
                    <w:jc w:val="center"/>
                  </w:pPr>
                  <w:r>
                    <w:t xml:space="preserve">0.479***</w:t>
                  </w:r>
                </w:p>
              </w:tc>
              <w:tc>
                <w:tcPr/>
                <w:p>
                  <w:pPr>
                    <w:pStyle w:val="Compact"/>
                    <w:jc w:val="left"/>
                    <w:jc w:val="center"/>
                  </w:pPr>
                  <w:r>
                    <w:t xml:space="preserve">1.112***</w:t>
                  </w:r>
                </w:p>
              </w:tc>
              <w:tc>
                <w:tcPr/>
                <w:p>
                  <w:pPr>
                    <w:pStyle w:val="Compact"/>
                    <w:jc w:val="left"/>
                    <w:jc w:val="center"/>
                  </w:pPr>
                  <w:r>
                    <w:t xml:space="preserve">0.808***</w:t>
                  </w:r>
                </w:p>
              </w:tc>
            </w:tr>
            <w:tr>
              <w:tc>
                <w:tcPr/>
                <w:p>
                  <w:pPr>
                    <w:pStyle w:val="Compact"/>
                  </w:pPr>
                </w:p>
              </w:tc>
              <w:tc>
                <w:tcPr/>
                <w:p>
                  <w:pPr>
                    <w:pStyle w:val="Compact"/>
                    <w:jc w:val="left"/>
                    <w:jc w:val="center"/>
                  </w:pPr>
                  <w:r>
                    <w:t xml:space="preserve">(0.157)</w:t>
                  </w:r>
                </w:p>
              </w:tc>
              <w:tc>
                <w:tcPr/>
                <w:p>
                  <w:pPr>
                    <w:pStyle w:val="Compact"/>
                    <w:jc w:val="left"/>
                    <w:jc w:val="center"/>
                  </w:pPr>
                  <w:r>
                    <w:t xml:space="preserve">(0.280)</w:t>
                  </w:r>
                </w:p>
              </w:tc>
              <w:tc>
                <w:tcPr/>
                <w:p>
                  <w:pPr>
                    <w:pStyle w:val="Compact"/>
                    <w:jc w:val="left"/>
                    <w:jc w:val="center"/>
                  </w:pPr>
                  <w:r>
                    <w:t xml:space="preserve">(0.209)</w:t>
                  </w:r>
                </w:p>
              </w:tc>
              <w:tc>
                <w:tcPr/>
                <w:p>
                  <w:pPr>
                    <w:pStyle w:val="Compact"/>
                    <w:jc w:val="left"/>
                    <w:jc w:val="center"/>
                  </w:pPr>
                  <w:r>
                    <w:t xml:space="preserve">(0.086)</w:t>
                  </w:r>
                </w:p>
              </w:tc>
              <w:tc>
                <w:tcPr/>
                <w:p>
                  <w:pPr>
                    <w:pStyle w:val="Compact"/>
                    <w:jc w:val="left"/>
                    <w:jc w:val="center"/>
                  </w:pPr>
                  <w:r>
                    <w:t xml:space="preserve">(0.066)</w:t>
                  </w:r>
                </w:p>
              </w:tc>
              <w:tc>
                <w:tcPr/>
                <w:p>
                  <w:pPr>
                    <w:pStyle w:val="Compact"/>
                    <w:jc w:val="left"/>
                    <w:jc w:val="center"/>
                  </w:pPr>
                  <w:r>
                    <w:t xml:space="preserve">(0.173)</w:t>
                  </w:r>
                </w:p>
              </w:tc>
            </w:tr>
            <w:tr>
              <w:tc>
                <w:tcPr/>
                <w:p>
                  <w:pPr>
                    <w:pStyle w:val="Compact"/>
                    <w:jc w:val="left"/>
                    <w:jc w:val="center"/>
                  </w:pPr>
                  <w:r>
                    <w:t xml:space="preserve">Num.Obs.</w:t>
                  </w:r>
                </w:p>
              </w:tc>
              <w:tc>
                <w:tcPr/>
                <w:p>
                  <w:pPr>
                    <w:pStyle w:val="Compact"/>
                    <w:jc w:val="left"/>
                    <w:jc w:val="center"/>
                  </w:pPr>
                  <w:r>
                    <w:t xml:space="preserve">1520</w:t>
                  </w:r>
                </w:p>
              </w:tc>
              <w:tc>
                <w:tcPr/>
                <w:p>
                  <w:pPr>
                    <w:pStyle w:val="Compact"/>
                    <w:jc w:val="left"/>
                    <w:jc w:val="center"/>
                  </w:pPr>
                  <w:r>
                    <w:t xml:space="preserve">304</w:t>
                  </w:r>
                </w:p>
              </w:tc>
              <w:tc>
                <w:tcPr/>
                <w:p>
                  <w:pPr>
                    <w:pStyle w:val="Compact"/>
                    <w:jc w:val="left"/>
                    <w:jc w:val="center"/>
                  </w:pPr>
                  <w:r>
                    <w:t xml:space="preserve">304</w:t>
                  </w:r>
                </w:p>
              </w:tc>
              <w:tc>
                <w:tcPr/>
                <w:p>
                  <w:pPr>
                    <w:pStyle w:val="Compact"/>
                    <w:jc w:val="left"/>
                    <w:jc w:val="center"/>
                  </w:pPr>
                  <w:r>
                    <w:t xml:space="preserve">304</w:t>
                  </w:r>
                </w:p>
              </w:tc>
              <w:tc>
                <w:tcPr/>
                <w:p>
                  <w:pPr>
                    <w:pStyle w:val="Compact"/>
                    <w:jc w:val="left"/>
                    <w:jc w:val="center"/>
                  </w:pPr>
                  <w:r>
                    <w:t xml:space="preserve">304</w:t>
                  </w:r>
                </w:p>
              </w:tc>
              <w:tc>
                <w:tcPr/>
                <w:p>
                  <w:pPr>
                    <w:pStyle w:val="Compact"/>
                    <w:jc w:val="left"/>
                    <w:jc w:val="center"/>
                  </w:pPr>
                  <w:r>
                    <w:t xml:space="preserve">304</w:t>
                  </w:r>
                </w:p>
              </w:tc>
            </w:tr>
            <w:tr>
              <w:tc>
                <w:tcPr/>
                <w:p>
                  <w:pPr>
                    <w:pStyle w:val="Compact"/>
                    <w:jc w:val="left"/>
                    <w:jc w:val="center"/>
                  </w:pPr>
                  <w:r>
                    <w:t xml:space="preserve">R2</w:t>
                  </w:r>
                </w:p>
              </w:tc>
              <w:tc>
                <w:tcPr/>
                <w:p>
                  <w:pPr>
                    <w:pStyle w:val="Compact"/>
                    <w:jc w:val="left"/>
                    <w:jc w:val="center"/>
                  </w:pPr>
                  <w:r>
                    <w:t xml:space="preserve">0.825</w:t>
                  </w:r>
                </w:p>
              </w:tc>
              <w:tc>
                <w:tcPr/>
                <w:p>
                  <w:pPr>
                    <w:pStyle w:val="Compact"/>
                    <w:jc w:val="left"/>
                    <w:jc w:val="center"/>
                  </w:pPr>
                  <w:r>
                    <w:t xml:space="preserve">0.863</w:t>
                  </w:r>
                </w:p>
              </w:tc>
              <w:tc>
                <w:tcPr/>
                <w:p>
                  <w:pPr>
                    <w:pStyle w:val="Compact"/>
                    <w:jc w:val="left"/>
                    <w:jc w:val="center"/>
                  </w:pPr>
                  <w:r>
                    <w:t xml:space="preserve">0.984</w:t>
                  </w:r>
                </w:p>
              </w:tc>
              <w:tc>
                <w:tcPr/>
                <w:p>
                  <w:pPr>
                    <w:pStyle w:val="Compact"/>
                    <w:jc w:val="left"/>
                    <w:jc w:val="center"/>
                  </w:pPr>
                  <w:r>
                    <w:t xml:space="preserve">0.993</w:t>
                  </w:r>
                </w:p>
              </w:tc>
              <w:tc>
                <w:tcPr/>
                <w:p>
                  <w:pPr>
                    <w:pStyle w:val="Compact"/>
                    <w:jc w:val="left"/>
                    <w:jc w:val="center"/>
                  </w:pPr>
                  <w:r>
                    <w:t xml:space="preserve">0.992</w:t>
                  </w:r>
                </w:p>
              </w:tc>
              <w:tc>
                <w:tcPr/>
                <w:p>
                  <w:pPr>
                    <w:pStyle w:val="Compact"/>
                    <w:jc w:val="left"/>
                    <w:jc w:val="center"/>
                  </w:pPr>
                  <w:r>
                    <w:t xml:space="preserve">0.945</w:t>
                  </w:r>
                </w:p>
              </w:tc>
            </w:tr>
            <w:tr>
              <w:tc>
                <w:tcPr/>
                <w:p>
                  <w:pPr>
                    <w:pStyle w:val="Compact"/>
                    <w:jc w:val="left"/>
                    <w:jc w:val="center"/>
                  </w:pPr>
                  <w:r>
                    <w:t xml:space="preserve">R2 Within</w:t>
                  </w:r>
                </w:p>
              </w:tc>
              <w:tc>
                <w:tcPr/>
                <w:p>
                  <w:pPr>
                    <w:pStyle w:val="Compact"/>
                    <w:jc w:val="left"/>
                    <w:jc w:val="center"/>
                  </w:pPr>
                  <w:r>
                    <w:t xml:space="preserve">0.658</w:t>
                  </w:r>
                </w:p>
              </w:tc>
              <w:tc>
                <w:tcPr/>
                <w:p>
                  <w:pPr>
                    <w:pStyle w:val="Compact"/>
                    <w:jc w:val="left"/>
                    <w:jc w:val="center"/>
                  </w:pPr>
                  <w:r>
                    <w:t xml:space="preserve">0.423</w:t>
                  </w:r>
                </w:p>
              </w:tc>
              <w:tc>
                <w:tcPr/>
                <w:p>
                  <w:pPr>
                    <w:pStyle w:val="Compact"/>
                    <w:jc w:val="left"/>
                    <w:jc w:val="center"/>
                  </w:pPr>
                  <w:r>
                    <w:t xml:space="preserve">0.780</w:t>
                  </w:r>
                </w:p>
              </w:tc>
              <w:tc>
                <w:tcPr/>
                <w:p>
                  <w:pPr>
                    <w:pStyle w:val="Compact"/>
                    <w:jc w:val="left"/>
                    <w:jc w:val="center"/>
                  </w:pPr>
                  <w:r>
                    <w:t xml:space="preserve">0.984</w:t>
                  </w:r>
                </w:p>
              </w:tc>
              <w:tc>
                <w:tcPr/>
                <w:p>
                  <w:pPr>
                    <w:pStyle w:val="Compact"/>
                    <w:jc w:val="left"/>
                    <w:jc w:val="center"/>
                  </w:pPr>
                  <w:r>
                    <w:t xml:space="preserve">0.952</w:t>
                  </w:r>
                </w:p>
              </w:tc>
              <w:tc>
                <w:tcPr/>
                <w:p>
                  <w:pPr>
                    <w:pStyle w:val="Compact"/>
                    <w:jc w:val="left"/>
                    <w:jc w:val="center"/>
                  </w:pPr>
                  <w:r>
                    <w:t xml:space="preserve">0.727</w:t>
                  </w:r>
                </w:p>
              </w:tc>
            </w:tr>
            <w:tr>
              <w:tc>
                <w:tcPr>
                  <w:gridSpan w:val="7"/>
                </w:tcPr>
                <w:p>
                  <w:pPr>
                    <w:numPr>
                      <w:ilvl w:val="0"/>
                      <w:numId w:val="1001"/>
                    </w:numPr>
                    <w:pStyle w:val="Compact"/>
                    <w:jc w:val="left"/>
                    <w:jc w:val="center"/>
                  </w:pPr>
                  <w:r>
                    <w:t xml:space="preserve">p &lt; 0.1, * p &lt; 0.05, ** p &lt; 0.01, *** p &lt; 0.001</w:t>
                  </w:r>
                </w:p>
              </w:tc>
            </w:tr>
          </w:tbl>
          <w:bookmarkEnd w:id="92"/>
          <w:p/>
        </w:tc>
      </w:tr>
    </w:tbl>
    <w:p>
      <w:pPr>
        <w:pStyle w:val="FirstParagraph"/>
      </w:pPr>
      <w:r>
        <w:t xml:space="preserve">First, we look at value added. We can see from</w:t>
      </w:r>
      <w:r>
        <w:t xml:space="preserve"> </w:t>
      </w:r>
      <w:hyperlink w:anchor="tbl-regv">
        <w:r>
          <w:rPr>
            <w:rStyle w:val="Hyperlink"/>
          </w:rPr>
          <w:t xml:space="preserve">Table 3</w:t>
        </w:r>
      </w:hyperlink>
      <w:r>
        <w:t xml:space="preserve"> </w:t>
      </w:r>
      <w:r>
        <w:t xml:space="preserve">that domestic services are generally correlates with domestic manufacturing value added. However, foreign value added does not seem to be important in the domestic value added of manufacturing. Vietnam is the exception, where foreign services seem to move together with domestic value added.</w:t>
      </w:r>
    </w:p>
    <w:tbl>
      <w:tblPr>
        <w:tblStyle w:val="Table"/>
        <w:tblW w:type="pct" w:w="5000"/>
        <w:tblLook w:firstRow="0" w:lastRow="0" w:firstColumn="0" w:lastColumn="0" w:noHBand="0" w:noVBand="0" w:val="0000"/>
        <w:jc w:val="start"/>
        <w:tblLayout w:type="fixed"/>
      </w:tblPr>
      <w:tblGrid>
        <w:gridCol w:w="7920"/>
      </w:tblGrid>
      <w:tr>
        <w:tc>
          <w:tcPr/>
          <w:bookmarkStart w:id="93" w:name="tbl-rego"/>
          <w:p>
            <w:pPr>
              <w:jc w:val="center"/>
            </w:pPr>
            <w:pPr>
              <w:jc w:val="start"/>
              <w:spacing w:before="200"/>
              <w:pStyle w:val="ImageCaption"/>
            </w:pPr>
            <w:r>
              <w:t xml:space="preserve">Table 4: Panel regression of log manufacturing output</w:t>
            </w:r>
          </w:p>
          <w:tbl>
            <w:tblPr>
              <w:tblStyle w:val="Table"/>
              <w:tblW w:type="pct" w:w="4695"/>
              <w:tblLook w:firstRow="1" w:lastRow="1" w:firstColumn="0" w:lastColumn="0" w:noHBand="0" w:noVBand="0" w:val="0020"/>
              <w:jc w:val="start"/>
              <w:tblLayout w:type="fixed"/>
            </w:tblPr>
            <w:tblGrid>
              <w:gridCol w:w="1159"/>
              <w:gridCol w:w="1062"/>
              <w:gridCol w:w="1062"/>
              <w:gridCol w:w="965"/>
              <w:gridCol w:w="1062"/>
              <w:gridCol w:w="1062"/>
              <w:gridCol w:w="1062"/>
            </w:tblGrid>
            <w:tr>
              <w:trPr>
                <w:tblHeader w:val="true"/>
              </w:trPr>
              <w:tc>
                <w:tcPr/>
                <w:p>
                  <w:pPr>
                    <w:pStyle w:val="Compact"/>
                  </w:pPr>
                </w:p>
              </w:tc>
              <w:tc>
                <w:tcPr/>
                <w:p>
                  <w:pPr>
                    <w:pStyle w:val="Compact"/>
                    <w:jc w:val="left"/>
                    <w:jc w:val="center"/>
                  </w:pPr>
                  <w:r>
                    <w:t xml:space="preserve">all</w:t>
                  </w:r>
                </w:p>
              </w:tc>
              <w:tc>
                <w:tcPr/>
                <w:p>
                  <w:pPr>
                    <w:pStyle w:val="Compact"/>
                    <w:jc w:val="left"/>
                    <w:jc w:val="center"/>
                  </w:pPr>
                  <w:r>
                    <w:t xml:space="preserve">IDN</w:t>
                  </w:r>
                </w:p>
              </w:tc>
              <w:tc>
                <w:tcPr/>
                <w:p>
                  <w:pPr>
                    <w:pStyle w:val="Compact"/>
                    <w:jc w:val="left"/>
                    <w:jc w:val="center"/>
                  </w:pPr>
                  <w:r>
                    <w:t xml:space="preserve">SGP</w:t>
                  </w:r>
                </w:p>
              </w:tc>
              <w:tc>
                <w:tcPr/>
                <w:p>
                  <w:pPr>
                    <w:pStyle w:val="Compact"/>
                    <w:jc w:val="left"/>
                    <w:jc w:val="center"/>
                  </w:pPr>
                  <w:r>
                    <w:t xml:space="preserve">VNM</w:t>
                  </w:r>
                </w:p>
              </w:tc>
              <w:tc>
                <w:tcPr/>
                <w:p>
                  <w:pPr>
                    <w:pStyle w:val="Compact"/>
                    <w:jc w:val="left"/>
                    <w:jc w:val="center"/>
                  </w:pPr>
                  <w:r>
                    <w:t xml:space="preserve">THA</w:t>
                  </w:r>
                </w:p>
              </w:tc>
              <w:tc>
                <w:tcPr/>
                <w:p>
                  <w:pPr>
                    <w:pStyle w:val="Compact"/>
                    <w:jc w:val="left"/>
                    <w:jc w:val="center"/>
                  </w:pPr>
                  <w:r>
                    <w:t xml:space="preserve">MYS</w:t>
                  </w:r>
                </w:p>
              </w:tc>
            </w:tr>
            <w:tr>
              <w:tc>
                <w:tcPr/>
                <w:p>
                  <w:pPr>
                    <w:pStyle w:val="Compact"/>
                    <w:jc w:val="left"/>
                    <w:jc w:val="center"/>
                  </w:pPr>
                  <w:r>
                    <w:t xml:space="preserve">lfs</w:t>
                  </w:r>
                </w:p>
              </w:tc>
              <w:tc>
                <w:tcPr/>
                <w:p>
                  <w:pPr>
                    <w:pStyle w:val="Compact"/>
                    <w:jc w:val="left"/>
                    <w:jc w:val="center"/>
                  </w:pPr>
                  <w:r>
                    <w:t xml:space="preserve">0.221+</w:t>
                  </w:r>
                </w:p>
              </w:tc>
              <w:tc>
                <w:tcPr/>
                <w:p>
                  <w:pPr>
                    <w:pStyle w:val="Compact"/>
                    <w:jc w:val="left"/>
                    <w:jc w:val="center"/>
                  </w:pPr>
                  <w:r>
                    <w:t xml:space="preserve">-0.070</w:t>
                  </w:r>
                </w:p>
              </w:tc>
              <w:tc>
                <w:tcPr/>
                <w:p>
                  <w:pPr>
                    <w:pStyle w:val="Compact"/>
                    <w:jc w:val="left"/>
                    <w:jc w:val="center"/>
                  </w:pPr>
                  <w:r>
                    <w:t xml:space="preserve">0.179</w:t>
                  </w:r>
                </w:p>
              </w:tc>
              <w:tc>
                <w:tcPr/>
                <w:p>
                  <w:pPr>
                    <w:pStyle w:val="Compact"/>
                    <w:jc w:val="left"/>
                    <w:jc w:val="center"/>
                  </w:pPr>
                  <w:r>
                    <w:t xml:space="preserve">0.471**</w:t>
                  </w:r>
                </w:p>
              </w:tc>
              <w:tc>
                <w:tcPr/>
                <w:p>
                  <w:pPr>
                    <w:pStyle w:val="Compact"/>
                    <w:jc w:val="left"/>
                    <w:jc w:val="center"/>
                  </w:pPr>
                  <w:r>
                    <w:t xml:space="preserve">0.112+</w:t>
                  </w:r>
                </w:p>
              </w:tc>
              <w:tc>
                <w:tcPr/>
                <w:p>
                  <w:pPr>
                    <w:pStyle w:val="Compact"/>
                    <w:jc w:val="left"/>
                    <w:jc w:val="center"/>
                  </w:pPr>
                  <w:r>
                    <w:t xml:space="preserve">0.155</w:t>
                  </w:r>
                </w:p>
              </w:tc>
            </w:tr>
            <w:tr>
              <w:tc>
                <w:tcPr/>
                <w:p>
                  <w:pPr>
                    <w:pStyle w:val="Compact"/>
                  </w:pPr>
                </w:p>
              </w:tc>
              <w:tc>
                <w:tcPr/>
                <w:p>
                  <w:pPr>
                    <w:pStyle w:val="Compact"/>
                    <w:jc w:val="left"/>
                    <w:jc w:val="center"/>
                  </w:pPr>
                  <w:r>
                    <w:t xml:space="preserve">(0.105)</w:t>
                  </w:r>
                </w:p>
              </w:tc>
              <w:tc>
                <w:tcPr/>
                <w:p>
                  <w:pPr>
                    <w:pStyle w:val="Compact"/>
                    <w:jc w:val="left"/>
                    <w:jc w:val="center"/>
                  </w:pPr>
                  <w:r>
                    <w:t xml:space="preserve">(0.141)</w:t>
                  </w:r>
                </w:p>
              </w:tc>
              <w:tc>
                <w:tcPr/>
                <w:p>
                  <w:pPr>
                    <w:pStyle w:val="Compact"/>
                    <w:jc w:val="left"/>
                    <w:jc w:val="center"/>
                  </w:pPr>
                  <w:r>
                    <w:t xml:space="preserve">(0.138)</w:t>
                  </w:r>
                </w:p>
              </w:tc>
              <w:tc>
                <w:tcPr/>
                <w:p>
                  <w:pPr>
                    <w:pStyle w:val="Compact"/>
                    <w:jc w:val="left"/>
                    <w:jc w:val="center"/>
                  </w:pPr>
                  <w:r>
                    <w:t xml:space="preserve">(0.135)</w:t>
                  </w:r>
                </w:p>
              </w:tc>
              <w:tc>
                <w:tcPr/>
                <w:p>
                  <w:pPr>
                    <w:pStyle w:val="Compact"/>
                    <w:jc w:val="left"/>
                    <w:jc w:val="center"/>
                  </w:pPr>
                  <w:r>
                    <w:t xml:space="preserve">(0.062)</w:t>
                  </w:r>
                </w:p>
              </w:tc>
              <w:tc>
                <w:tcPr/>
                <w:p>
                  <w:pPr>
                    <w:pStyle w:val="Compact"/>
                    <w:jc w:val="left"/>
                    <w:jc w:val="center"/>
                  </w:pPr>
                  <w:r>
                    <w:t xml:space="preserve">(0.166)</w:t>
                  </w:r>
                </w:p>
              </w:tc>
            </w:tr>
            <w:tr>
              <w:tc>
                <w:tcPr/>
                <w:p>
                  <w:pPr>
                    <w:pStyle w:val="Compact"/>
                    <w:jc w:val="left"/>
                    <w:jc w:val="center"/>
                  </w:pPr>
                  <w:r>
                    <w:t xml:space="preserve">lds</w:t>
                  </w:r>
                </w:p>
              </w:tc>
              <w:tc>
                <w:tcPr/>
                <w:p>
                  <w:pPr>
                    <w:pStyle w:val="Compact"/>
                    <w:jc w:val="left"/>
                    <w:jc w:val="center"/>
                  </w:pPr>
                  <w:r>
                    <w:t xml:space="preserve">0.745***</w:t>
                  </w:r>
                </w:p>
              </w:tc>
              <w:tc>
                <w:tcPr/>
                <w:p>
                  <w:pPr>
                    <w:pStyle w:val="Compact"/>
                    <w:jc w:val="left"/>
                    <w:jc w:val="center"/>
                  </w:pPr>
                  <w:r>
                    <w:t xml:space="preserve">0.910***</w:t>
                  </w:r>
                </w:p>
              </w:tc>
              <w:tc>
                <w:tcPr/>
                <w:p>
                  <w:pPr>
                    <w:pStyle w:val="Compact"/>
                    <w:jc w:val="left"/>
                    <w:jc w:val="center"/>
                  </w:pPr>
                  <w:r>
                    <w:t xml:space="preserve">0.640**</w:t>
                  </w:r>
                </w:p>
              </w:tc>
              <w:tc>
                <w:tcPr/>
                <w:p>
                  <w:pPr>
                    <w:pStyle w:val="Compact"/>
                    <w:jc w:val="left"/>
                    <w:jc w:val="center"/>
                  </w:pPr>
                  <w:r>
                    <w:t xml:space="preserve">0.547***</w:t>
                  </w:r>
                </w:p>
              </w:tc>
              <w:tc>
                <w:tcPr/>
                <w:p>
                  <w:pPr>
                    <w:pStyle w:val="Compact"/>
                    <w:jc w:val="left"/>
                    <w:jc w:val="center"/>
                  </w:pPr>
                  <w:r>
                    <w:t xml:space="preserve">0.865***</w:t>
                  </w:r>
                </w:p>
              </w:tc>
              <w:tc>
                <w:tcPr/>
                <w:p>
                  <w:pPr>
                    <w:pStyle w:val="Compact"/>
                    <w:jc w:val="left"/>
                    <w:jc w:val="center"/>
                  </w:pPr>
                  <w:r>
                    <w:t xml:space="preserve">0.745***</w:t>
                  </w:r>
                </w:p>
              </w:tc>
            </w:tr>
            <w:tr>
              <w:tc>
                <w:tcPr/>
                <w:p>
                  <w:pPr>
                    <w:pStyle w:val="Compact"/>
                  </w:pPr>
                </w:p>
              </w:tc>
              <w:tc>
                <w:tcPr/>
                <w:p>
                  <w:pPr>
                    <w:pStyle w:val="Compact"/>
                    <w:jc w:val="left"/>
                    <w:jc w:val="center"/>
                  </w:pPr>
                  <w:r>
                    <w:t xml:space="preserve">(0.103)</w:t>
                  </w:r>
                </w:p>
              </w:tc>
              <w:tc>
                <w:tcPr/>
                <w:p>
                  <w:pPr>
                    <w:pStyle w:val="Compact"/>
                    <w:jc w:val="left"/>
                    <w:jc w:val="center"/>
                  </w:pPr>
                  <w:r>
                    <w:t xml:space="preserve">(0.129)</w:t>
                  </w:r>
                </w:p>
              </w:tc>
              <w:tc>
                <w:tcPr/>
                <w:p>
                  <w:pPr>
                    <w:pStyle w:val="Compact"/>
                    <w:jc w:val="left"/>
                    <w:jc w:val="center"/>
                  </w:pPr>
                  <w:r>
                    <w:t xml:space="preserve">(0.166)</w:t>
                  </w:r>
                </w:p>
              </w:tc>
              <w:tc>
                <w:tcPr/>
                <w:p>
                  <w:pPr>
                    <w:pStyle w:val="Compact"/>
                    <w:jc w:val="left"/>
                    <w:jc w:val="center"/>
                  </w:pPr>
                  <w:r>
                    <w:t xml:space="preserve">(0.123)</w:t>
                  </w:r>
                </w:p>
              </w:tc>
              <w:tc>
                <w:tcPr/>
                <w:p>
                  <w:pPr>
                    <w:pStyle w:val="Compact"/>
                    <w:jc w:val="left"/>
                    <w:jc w:val="center"/>
                  </w:pPr>
                  <w:r>
                    <w:t xml:space="preserve">(0.062)</w:t>
                  </w:r>
                </w:p>
              </w:tc>
              <w:tc>
                <w:tcPr/>
                <w:p>
                  <w:pPr>
                    <w:pStyle w:val="Compact"/>
                    <w:jc w:val="left"/>
                    <w:jc w:val="center"/>
                  </w:pPr>
                  <w:r>
                    <w:t xml:space="preserve">(0.103)</w:t>
                  </w:r>
                </w:p>
              </w:tc>
            </w:tr>
            <w:tr>
              <w:tc>
                <w:tcPr/>
                <w:p>
                  <w:pPr>
                    <w:pStyle w:val="Compact"/>
                    <w:jc w:val="left"/>
                    <w:jc w:val="center"/>
                  </w:pPr>
                  <w:r>
                    <w:t xml:space="preserve">Num.Obs.</w:t>
                  </w:r>
                </w:p>
              </w:tc>
              <w:tc>
                <w:tcPr/>
                <w:p>
                  <w:pPr>
                    <w:pStyle w:val="Compact"/>
                    <w:jc w:val="left"/>
                    <w:jc w:val="center"/>
                  </w:pPr>
                  <w:r>
                    <w:t xml:space="preserve">1520</w:t>
                  </w:r>
                </w:p>
              </w:tc>
              <w:tc>
                <w:tcPr/>
                <w:p>
                  <w:pPr>
                    <w:pStyle w:val="Compact"/>
                    <w:jc w:val="left"/>
                    <w:jc w:val="center"/>
                  </w:pPr>
                  <w:r>
                    <w:t xml:space="preserve">304</w:t>
                  </w:r>
                </w:p>
              </w:tc>
              <w:tc>
                <w:tcPr/>
                <w:p>
                  <w:pPr>
                    <w:pStyle w:val="Compact"/>
                    <w:jc w:val="left"/>
                    <w:jc w:val="center"/>
                  </w:pPr>
                  <w:r>
                    <w:t xml:space="preserve">304</w:t>
                  </w:r>
                </w:p>
              </w:tc>
              <w:tc>
                <w:tcPr/>
                <w:p>
                  <w:pPr>
                    <w:pStyle w:val="Compact"/>
                    <w:jc w:val="left"/>
                    <w:jc w:val="center"/>
                  </w:pPr>
                  <w:r>
                    <w:t xml:space="preserve">304</w:t>
                  </w:r>
                </w:p>
              </w:tc>
              <w:tc>
                <w:tcPr/>
                <w:p>
                  <w:pPr>
                    <w:pStyle w:val="Compact"/>
                    <w:jc w:val="left"/>
                    <w:jc w:val="center"/>
                  </w:pPr>
                  <w:r>
                    <w:t xml:space="preserve">304</w:t>
                  </w:r>
                </w:p>
              </w:tc>
              <w:tc>
                <w:tcPr/>
                <w:p>
                  <w:pPr>
                    <w:pStyle w:val="Compact"/>
                    <w:jc w:val="left"/>
                    <w:jc w:val="center"/>
                  </w:pPr>
                  <w:r>
                    <w:t xml:space="preserve">304</w:t>
                  </w:r>
                </w:p>
              </w:tc>
            </w:tr>
            <w:tr>
              <w:tc>
                <w:tcPr/>
                <w:p>
                  <w:pPr>
                    <w:pStyle w:val="Compact"/>
                    <w:jc w:val="left"/>
                    <w:jc w:val="center"/>
                  </w:pPr>
                  <w:r>
                    <w:t xml:space="preserve">R2</w:t>
                  </w:r>
                </w:p>
              </w:tc>
              <w:tc>
                <w:tcPr/>
                <w:p>
                  <w:pPr>
                    <w:pStyle w:val="Compact"/>
                    <w:jc w:val="left"/>
                    <w:jc w:val="center"/>
                  </w:pPr>
                  <w:r>
                    <w:t xml:space="preserve">0.962</w:t>
                  </w:r>
                </w:p>
              </w:tc>
              <w:tc>
                <w:tcPr/>
                <w:p>
                  <w:pPr>
                    <w:pStyle w:val="Compact"/>
                    <w:jc w:val="left"/>
                    <w:jc w:val="center"/>
                  </w:pPr>
                  <w:r>
                    <w:t xml:space="preserve">0.954</w:t>
                  </w:r>
                </w:p>
              </w:tc>
              <w:tc>
                <w:tcPr/>
                <w:p>
                  <w:pPr>
                    <w:pStyle w:val="Compact"/>
                    <w:jc w:val="left"/>
                    <w:jc w:val="center"/>
                  </w:pPr>
                  <w:r>
                    <w:t xml:space="preserve">0.993</w:t>
                  </w:r>
                </w:p>
              </w:tc>
              <w:tc>
                <w:tcPr/>
                <w:p>
                  <w:pPr>
                    <w:pStyle w:val="Compact"/>
                    <w:jc w:val="left"/>
                    <w:jc w:val="center"/>
                  </w:pPr>
                  <w:r>
                    <w:t xml:space="preserve">0.995</w:t>
                  </w:r>
                </w:p>
              </w:tc>
              <w:tc>
                <w:tcPr/>
                <w:p>
                  <w:pPr>
                    <w:pStyle w:val="Compact"/>
                    <w:jc w:val="left"/>
                    <w:jc w:val="center"/>
                  </w:pPr>
                  <w:r>
                    <w:t xml:space="preserve">0.996</w:t>
                  </w:r>
                </w:p>
              </w:tc>
              <w:tc>
                <w:tcPr/>
                <w:p>
                  <w:pPr>
                    <w:pStyle w:val="Compact"/>
                    <w:jc w:val="left"/>
                    <w:jc w:val="center"/>
                  </w:pPr>
                  <w:r>
                    <w:t xml:space="preserve">0.987</w:t>
                  </w:r>
                </w:p>
              </w:tc>
            </w:tr>
            <w:tr>
              <w:tc>
                <w:tcPr/>
                <w:p>
                  <w:pPr>
                    <w:pStyle w:val="Compact"/>
                    <w:jc w:val="left"/>
                    <w:jc w:val="center"/>
                  </w:pPr>
                  <w:r>
                    <w:t xml:space="preserve">R2 Within</w:t>
                  </w:r>
                </w:p>
              </w:tc>
              <w:tc>
                <w:tcPr/>
                <w:p>
                  <w:pPr>
                    <w:pStyle w:val="Compact"/>
                    <w:jc w:val="left"/>
                    <w:jc w:val="center"/>
                  </w:pPr>
                  <w:r>
                    <w:t xml:space="preserve">0.921</w:t>
                  </w:r>
                </w:p>
              </w:tc>
              <w:tc>
                <w:tcPr/>
                <w:p>
                  <w:pPr>
                    <w:pStyle w:val="Compact"/>
                    <w:jc w:val="left"/>
                    <w:jc w:val="center"/>
                  </w:pPr>
                  <w:r>
                    <w:t xml:space="preserve">0.880</w:t>
                  </w:r>
                </w:p>
              </w:tc>
              <w:tc>
                <w:tcPr/>
                <w:p>
                  <w:pPr>
                    <w:pStyle w:val="Compact"/>
                    <w:jc w:val="left"/>
                    <w:jc w:val="center"/>
                  </w:pPr>
                  <w:r>
                    <w:t xml:space="preserve">0.914</w:t>
                  </w:r>
                </w:p>
              </w:tc>
              <w:tc>
                <w:tcPr/>
                <w:p>
                  <w:pPr>
                    <w:pStyle w:val="Compact"/>
                    <w:jc w:val="left"/>
                    <w:jc w:val="center"/>
                  </w:pPr>
                  <w:r>
                    <w:t xml:space="preserve">0.990</w:t>
                  </w:r>
                </w:p>
              </w:tc>
              <w:tc>
                <w:tcPr/>
                <w:p>
                  <w:pPr>
                    <w:pStyle w:val="Compact"/>
                    <w:jc w:val="left"/>
                    <w:jc w:val="center"/>
                  </w:pPr>
                  <w:r>
                    <w:t xml:space="preserve">0.973</w:t>
                  </w:r>
                </w:p>
              </w:tc>
              <w:tc>
                <w:tcPr/>
                <w:p>
                  <w:pPr>
                    <w:pStyle w:val="Compact"/>
                    <w:jc w:val="left"/>
                    <w:jc w:val="center"/>
                  </w:pPr>
                  <w:r>
                    <w:t xml:space="preserve">0.891</w:t>
                  </w:r>
                </w:p>
              </w:tc>
            </w:tr>
            <w:tr>
              <w:tc>
                <w:tcPr>
                  <w:gridSpan w:val="7"/>
                </w:tcPr>
                <w:p>
                  <w:pPr>
                    <w:numPr>
                      <w:ilvl w:val="0"/>
                      <w:numId w:val="1002"/>
                    </w:numPr>
                    <w:pStyle w:val="Compact"/>
                    <w:jc w:val="left"/>
                    <w:jc w:val="center"/>
                  </w:pPr>
                  <w:r>
                    <w:t xml:space="preserve">p &lt; 0.1, * p &lt; 0.05, ** p &lt; 0.01, *** p &lt; 0.001</w:t>
                  </w:r>
                </w:p>
              </w:tc>
            </w:tr>
          </w:tbl>
          <w:bookmarkEnd w:id="93"/>
          <w:p/>
        </w:tc>
      </w:tr>
    </w:tbl>
    <w:p>
      <w:pPr>
        <w:pStyle w:val="FirstParagraph"/>
      </w:pPr>
      <w:r>
        <w:t xml:space="preserve">Next, we go to</w:t>
      </w:r>
      <w:r>
        <w:t xml:space="preserve"> </w:t>
      </w:r>
      <w:hyperlink w:anchor="tbl-rego">
        <w:r>
          <w:rPr>
            <w:rStyle w:val="Hyperlink"/>
          </w:rPr>
          <w:t xml:space="preserve">Table 4</w:t>
        </w:r>
      </w:hyperlink>
      <w:r>
        <w:t xml:space="preserve"> </w:t>
      </w:r>
      <w:r>
        <w:t xml:space="preserve">to look at the relationship between services inputs and manufacturing output. In this case, the general correlation of services inputs are positive. But again, this positive impact is driven mainly by Vietnam and weakly by Thailand. Most correlation still comes from domestic services value added.</w:t>
      </w:r>
    </w:p>
    <w:p>
      <w:pPr>
        <w:pStyle w:val="BodyText"/>
      </w:pPr>
      <w:r>
        <w:t xml:space="preserve">The results from Thailand seems to suggests the effect of volume</w:t>
      </w:r>
      <w:r>
        <w:t xml:space="preserve"> </w:t>
      </w:r>
      <w:r>
        <w:t xml:space="preserve">(Athukorala and Patunru 2023)</w:t>
      </w:r>
      <w:r>
        <w:t xml:space="preserve">.That is, while domestic value added is reduced by increasing foreign input, but the resulting output means that the reduction of domestic value added is covered by output volume. Indeed, Thailand’s manufacturing tends to be sold abroad a bit more than large economy like Indonesia.</w:t>
      </w:r>
    </w:p>
    <w:bookmarkEnd w:id="94"/>
    <w:bookmarkStart w:id="101" w:name="ardl-results"/>
    <w:p>
      <w:pPr>
        <w:pStyle w:val="Heading4"/>
      </w:pPr>
      <w:r>
        <w:t xml:space="preserve">ARDL results</w:t>
      </w:r>
    </w:p>
    <w:p>
      <w:pPr>
        <w:pStyle w:val="FirstParagraph"/>
      </w:pPr>
      <w:r>
        <w:t xml:space="preserve">We complement previous analysis with more macro, less structured approach. We test whether services import and manufacturing export and output moves together.</w:t>
      </w:r>
      <w:r>
        <w:t xml:space="preserve"> </w:t>
      </w:r>
      <w:hyperlink w:anchor="fig-idn">
        <w:r>
          <w:rPr>
            <w:rStyle w:val="Hyperlink"/>
          </w:rPr>
          <w:t xml:space="preserve">Figure 6</w:t>
        </w:r>
      </w:hyperlink>
      <w:r>
        <w:t xml:space="preserve"> </w:t>
      </w:r>
      <w:r>
        <w:t xml:space="preserve">shows data we use. Manufacturing GDP is omitted for scaling reason, but we can see the vast difference between merchandise trade and services trade during the pandemic in 2020. While we use internet and computer application services more during the pandemic, the huge drop in travels visually dominates Indonesia’s import services. In fact, it is because we can have digital presence that traveling abroad is less needed even as restriction eases.</w:t>
      </w:r>
    </w:p>
    <w:tbl>
      <w:tblPr>
        <w:tblStyle w:val="Table"/>
        <w:tblW w:type="pct" w:w="5000"/>
        <w:tblLook w:firstRow="0" w:lastRow="0" w:firstColumn="0" w:lastColumn="0" w:noHBand="0" w:noVBand="0" w:val="0000"/>
        <w:jc w:val="start"/>
        <w:tblLayout w:type="fixed"/>
      </w:tblPr>
      <w:tblGrid>
        <w:gridCol w:w="7920"/>
      </w:tblGrid>
      <w:tr>
        <w:tc>
          <w:tcPr/>
          <w:bookmarkStart w:id="98" w:name="fig-idn"/>
          <w:p>
            <w:pPr>
              <w:pStyle w:val="Compact"/>
              <w:jc w:val="center"/>
            </w:pPr>
            <w:r>
              <w:drawing>
                <wp:inline>
                  <wp:extent cx="4620126" cy="3696101"/>
                  <wp:effectExtent b="0" l="0" r="0" t="0"/>
                  <wp:docPr descr="" title="" id="96" name="Picture"/>
                  <a:graphic>
                    <a:graphicData uri="http://schemas.openxmlformats.org/drawingml/2006/picture">
                      <pic:pic>
                        <pic:nvPicPr>
                          <pic:cNvPr descr="services_document_files/figure-docx/fig-idn-1.png" id="97" name="Picture"/>
                          <pic:cNvPicPr>
                            <a:picLocks noChangeArrowheads="1" noChangeAspect="1"/>
                          </pic:cNvPicPr>
                        </pic:nvPicPr>
                        <pic:blipFill>
                          <a:blip r:embed="rId95"/>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Indonesian trade dynamics</w:t>
            </w:r>
          </w:p>
          <w:bookmarkEnd w:id="98"/>
        </w:tc>
      </w:tr>
    </w:tbl>
    <w:p>
      <w:pPr>
        <w:pStyle w:val="BodyText"/>
      </w:pPr>
      <w:r>
        <w:t xml:space="preserve">The log version of variables in</w:t>
      </w:r>
      <w:r>
        <w:t xml:space="preserve"> </w:t>
      </w:r>
      <w:hyperlink w:anchor="fig-idn">
        <w:r>
          <w:rPr>
            <w:rStyle w:val="Hyperlink"/>
          </w:rPr>
          <w:t xml:space="preserve">Figure 6</w:t>
        </w:r>
      </w:hyperlink>
      <w:r>
        <w:t xml:space="preserve"> </w:t>
      </w:r>
      <w:r>
        <w:t xml:space="preserve">is used for the regression, along with log of manufacturing GDP. Summary statistics are presented in</w:t>
      </w:r>
      <w:r>
        <w:t xml:space="preserve"> </w:t>
      </w:r>
      <w:hyperlink w:anchor="tbl-sum2">
        <w:r>
          <w:rPr>
            <w:rStyle w:val="Hyperlink"/>
          </w:rPr>
          <w:t xml:space="preserve">Table 5</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99" w:name="tbl-sum2"/>
          <w:p>
            <w:pPr>
              <w:jc w:val="center"/>
            </w:pPr>
            <w:pPr>
              <w:jc w:val="start"/>
              <w:spacing w:before="200"/>
              <w:pStyle w:val="ImageCaption"/>
            </w:pPr>
            <w:r>
              <w:t xml:space="preserve">Table 5: Summary statistics</w:t>
            </w:r>
          </w:p>
          <w:tbl>
            <w:tblPr>
              <w:tblStyle w:val="Table"/>
              <w:tblW w:type="pct" w:w="4097"/>
              <w:tblLook w:firstRow="1" w:lastRow="0" w:firstColumn="0" w:lastColumn="0" w:noHBand="0" w:noVBand="0" w:val="0020"/>
              <w:jc w:val="start"/>
              <w:tblLayout w:type="fixed"/>
            </w:tblPr>
            <w:tblGrid>
              <w:gridCol w:w="2640"/>
              <w:gridCol w:w="770"/>
              <w:gridCol w:w="990"/>
              <w:gridCol w:w="770"/>
              <w:gridCol w:w="1320"/>
            </w:tblGrid>
            <w:tr>
              <w:trPr>
                <w:tblHeader w:val="true"/>
              </w:trPr>
              <w:tc>
                <w:tcPr/>
                <w:p>
                  <w:pPr>
                    <w:pStyle w:val="Compact"/>
                  </w:pPr>
                </w:p>
              </w:tc>
              <w:tc>
                <w:tcPr/>
                <w:p>
                  <w:pPr>
                    <w:pStyle w:val="Compact"/>
                    <w:jc w:val="left"/>
                    <w:jc w:val="center"/>
                  </w:pPr>
                  <w:r>
                    <w:t xml:space="preserve">Mean</w:t>
                  </w:r>
                </w:p>
              </w:tc>
              <w:tc>
                <w:tcPr/>
                <w:p>
                  <w:pPr>
                    <w:pStyle w:val="Compact"/>
                    <w:jc w:val="left"/>
                    <w:jc w:val="center"/>
                  </w:pPr>
                  <w:r>
                    <w:t xml:space="preserve">Median</w:t>
                  </w:r>
                </w:p>
              </w:tc>
              <w:tc>
                <w:tcPr/>
                <w:p>
                  <w:pPr>
                    <w:pStyle w:val="Compact"/>
                    <w:jc w:val="left"/>
                    <w:jc w:val="center"/>
                  </w:pPr>
                  <w:r>
                    <w:t xml:space="preserve">SD</w:t>
                  </w:r>
                </w:p>
              </w:tc>
              <w:tc>
                <w:tcPr/>
                <w:p>
                  <w:pPr>
                    <w:pStyle w:val="Compact"/>
                    <w:jc w:val="left"/>
                    <w:jc w:val="center"/>
                  </w:pPr>
                  <w:r>
                    <w:t xml:space="preserve">Histogram</w:t>
                  </w:r>
                </w:p>
              </w:tc>
            </w:tr>
            <w:tr>
              <w:tc>
                <w:tcPr/>
                <w:p>
                  <w:pPr>
                    <w:pStyle w:val="Compact"/>
                    <w:jc w:val="left"/>
                    <w:jc w:val="center"/>
                  </w:pPr>
                  <w:r>
                    <w:t xml:space="preserve">log value added</w:t>
                  </w:r>
                </w:p>
              </w:tc>
              <w:tc>
                <w:tcPr/>
                <w:p>
                  <w:pPr>
                    <w:pStyle w:val="Compact"/>
                    <w:jc w:val="left"/>
                    <w:jc w:val="center"/>
                  </w:pPr>
                  <w:r>
                    <w:t xml:space="preserve">7.62</w:t>
                  </w:r>
                </w:p>
              </w:tc>
              <w:tc>
                <w:tcPr/>
                <w:p>
                  <w:pPr>
                    <w:pStyle w:val="Compact"/>
                    <w:jc w:val="left"/>
                    <w:jc w:val="center"/>
                  </w:pPr>
                  <w:r>
                    <w:t xml:space="preserve">7.67</w:t>
                  </w:r>
                </w:p>
              </w:tc>
              <w:tc>
                <w:tcPr/>
                <w:p>
                  <w:pPr>
                    <w:pStyle w:val="Compact"/>
                    <w:jc w:val="left"/>
                    <w:jc w:val="center"/>
                  </w:pPr>
                  <w:r>
                    <w:t xml:space="preserve">1.26</w:t>
                  </w:r>
                </w:p>
              </w:tc>
              <w:tc>
                <w:tcPr/>
                <w:p>
                  <w:pPr>
                    <w:pStyle w:val="Compact"/>
                    <w:jc w:val="left"/>
                    <w:jc w:val="center"/>
                  </w:pPr>
                  <w:r>
                    <w:t xml:space="preserve">▁▁▃▅▇▆▃▁</w:t>
                  </w:r>
                </w:p>
              </w:tc>
            </w:tr>
            <w:tr>
              <w:tc>
                <w:tcPr/>
                <w:p>
                  <w:pPr>
                    <w:pStyle w:val="Compact"/>
                    <w:jc w:val="left"/>
                    <w:jc w:val="center"/>
                  </w:pPr>
                  <w:r>
                    <w:t xml:space="preserve">log output</w:t>
                  </w:r>
                </w:p>
              </w:tc>
              <w:tc>
                <w:tcPr/>
                <w:p>
                  <w:pPr>
                    <w:pStyle w:val="Compact"/>
                    <w:jc w:val="left"/>
                    <w:jc w:val="center"/>
                  </w:pPr>
                  <w:r>
                    <w:t xml:space="preserve">9.01</w:t>
                  </w:r>
                </w:p>
              </w:tc>
              <w:tc>
                <w:tcPr/>
                <w:p>
                  <w:pPr>
                    <w:pStyle w:val="Compact"/>
                    <w:jc w:val="left"/>
                    <w:jc w:val="center"/>
                  </w:pPr>
                  <w:r>
                    <w:t xml:space="preserve">9.06</w:t>
                  </w:r>
                </w:p>
              </w:tc>
              <w:tc>
                <w:tcPr/>
                <w:p>
                  <w:pPr>
                    <w:pStyle w:val="Compact"/>
                    <w:jc w:val="left"/>
                    <w:jc w:val="center"/>
                  </w:pPr>
                  <w:r>
                    <w:t xml:space="preserve">1.21</w:t>
                  </w:r>
                </w:p>
              </w:tc>
              <w:tc>
                <w:tcPr/>
                <w:p>
                  <w:pPr>
                    <w:pStyle w:val="Compact"/>
                    <w:jc w:val="left"/>
                    <w:jc w:val="center"/>
                  </w:pPr>
                  <w:r>
                    <w:t xml:space="preserve">▁▂▄▆▇▄▂</w:t>
                  </w:r>
                </w:p>
              </w:tc>
            </w:tr>
            <w:tr>
              <w:tc>
                <w:tcPr/>
                <w:p>
                  <w:pPr>
                    <w:pStyle w:val="Compact"/>
                    <w:jc w:val="left"/>
                    <w:jc w:val="center"/>
                  </w:pPr>
                  <w:r>
                    <w:t xml:space="preserve">log foreign services</w:t>
                  </w:r>
                </w:p>
              </w:tc>
              <w:tc>
                <w:tcPr/>
                <w:p>
                  <w:pPr>
                    <w:pStyle w:val="Compact"/>
                    <w:jc w:val="left"/>
                    <w:jc w:val="center"/>
                  </w:pPr>
                  <w:r>
                    <w:t xml:space="preserve">5.98</w:t>
                  </w:r>
                </w:p>
              </w:tc>
              <w:tc>
                <w:tcPr/>
                <w:p>
                  <w:pPr>
                    <w:pStyle w:val="Compact"/>
                    <w:jc w:val="left"/>
                    <w:jc w:val="center"/>
                  </w:pPr>
                  <w:r>
                    <w:t xml:space="preserve">6.00</w:t>
                  </w:r>
                </w:p>
              </w:tc>
              <w:tc>
                <w:tcPr/>
                <w:p>
                  <w:pPr>
                    <w:pStyle w:val="Compact"/>
                    <w:jc w:val="left"/>
                    <w:jc w:val="center"/>
                  </w:pPr>
                  <w:r>
                    <w:t xml:space="preserve">1.21</w:t>
                  </w:r>
                </w:p>
              </w:tc>
              <w:tc>
                <w:tcPr/>
                <w:p>
                  <w:pPr>
                    <w:pStyle w:val="Compact"/>
                    <w:jc w:val="left"/>
                    <w:jc w:val="center"/>
                  </w:pPr>
                  <w:r>
                    <w:t xml:space="preserve">▂▄▇▇▄▁</w:t>
                  </w:r>
                </w:p>
              </w:tc>
            </w:tr>
            <w:tr>
              <w:tc>
                <w:tcPr/>
                <w:p>
                  <w:pPr>
                    <w:pStyle w:val="Compact"/>
                    <w:jc w:val="left"/>
                    <w:jc w:val="center"/>
                  </w:pPr>
                  <w:r>
                    <w:t xml:space="preserve">log domestic services</w:t>
                  </w:r>
                </w:p>
              </w:tc>
              <w:tc>
                <w:tcPr/>
                <w:p>
                  <w:pPr>
                    <w:pStyle w:val="Compact"/>
                    <w:jc w:val="left"/>
                    <w:jc w:val="center"/>
                  </w:pPr>
                  <w:r>
                    <w:t xml:space="preserve">7.23</w:t>
                  </w:r>
                </w:p>
              </w:tc>
              <w:tc>
                <w:tcPr/>
                <w:p>
                  <w:pPr>
                    <w:pStyle w:val="Compact"/>
                    <w:jc w:val="left"/>
                    <w:jc w:val="center"/>
                  </w:pPr>
                  <w:r>
                    <w:t xml:space="preserve">7.23</w:t>
                  </w:r>
                </w:p>
              </w:tc>
              <w:tc>
                <w:tcPr/>
                <w:p>
                  <w:pPr>
                    <w:pStyle w:val="Compact"/>
                    <w:jc w:val="left"/>
                    <w:jc w:val="center"/>
                  </w:pPr>
                  <w:r>
                    <w:t xml:space="preserve">1.25</w:t>
                  </w:r>
                </w:p>
              </w:tc>
              <w:tc>
                <w:tcPr/>
                <w:p>
                  <w:pPr>
                    <w:pStyle w:val="Compact"/>
                    <w:jc w:val="left"/>
                    <w:jc w:val="center"/>
                  </w:pPr>
                  <w:r>
                    <w:t xml:space="preserve">▁▁▃▅▇▆▄▂▁</w:t>
                  </w:r>
                </w:p>
              </w:tc>
            </w:tr>
          </w:tbl>
          <w:bookmarkEnd w:id="99"/>
          <w:p/>
        </w:tc>
      </w:tr>
    </w:tbl>
    <w:p>
      <w:pPr>
        <w:pStyle w:val="BodyText"/>
      </w:pPr>
      <w:r>
        <w:t xml:space="preserve">Results from executing</w:t>
      </w:r>
      <w:r>
        <w:t xml:space="preserve"> </w:t>
      </w:r>
      <w:hyperlink w:anchor="eq-3">
        <w:r>
          <w:rPr>
            <w:rStyle w:val="Hyperlink"/>
          </w:rPr>
          <w:t xml:space="preserve">Equation 3</w:t>
        </w:r>
      </w:hyperlink>
      <w:r>
        <w:t xml:space="preserve"> </w:t>
      </w:r>
      <w:r>
        <w:t xml:space="preserve">is shown in</w:t>
      </w:r>
      <w:r>
        <w:t xml:space="preserve"> </w:t>
      </w:r>
      <w:hyperlink w:anchor="tbl-2">
        <w:r>
          <w:rPr>
            <w:rStyle w:val="Hyperlink"/>
          </w:rPr>
          <w:t xml:space="preserve">Table 6</w:t>
        </w:r>
      </w:hyperlink>
      <w:r>
        <w:t xml:space="preserve">. There are four column, with the first two use log manufactures exports as the left hand-side variable while the latter two uses log manufacturing GDP.</w:t>
      </w:r>
      <w:r>
        <w:t xml:space="preserve"> </w:t>
      </w:r>
      <w:r>
        <w:rPr>
          <w:rStyle w:val="VerbatimChar"/>
        </w:rPr>
        <w:t xml:space="preserve">ARDL(1,0,0)</w:t>
      </w:r>
      <w:r>
        <w:t xml:space="preserve"> </w:t>
      </w:r>
      <w:r>
        <w:t xml:space="preserve">is used for the first column and</w:t>
      </w:r>
      <w:r>
        <w:t xml:space="preserve"> </w:t>
      </w:r>
      <w:r>
        <w:rPr>
          <w:rStyle w:val="VerbatimChar"/>
        </w:rPr>
        <w:t xml:space="preserve">ARDL(1,1,1)</w:t>
      </w:r>
      <w:r>
        <w:t xml:space="preserve"> </w:t>
      </w:r>
      <w:r>
        <w:t xml:space="preserve">is used for the second column of each, as discussed in the previous section.</w:t>
      </w:r>
    </w:p>
    <w:tbl>
      <w:tblPr>
        <w:tblStyle w:val="Table"/>
        <w:tblW w:type="pct" w:w="5000"/>
        <w:tblLook w:firstRow="0" w:lastRow="0" w:firstColumn="0" w:lastColumn="0" w:noHBand="0" w:noVBand="0" w:val="0000"/>
        <w:jc w:val="start"/>
        <w:tblLayout w:type="fixed"/>
      </w:tblPr>
      <w:tblGrid>
        <w:gridCol w:w="7920"/>
      </w:tblGrid>
      <w:tr>
        <w:tc>
          <w:tcPr/>
          <w:bookmarkStart w:id="100" w:name="tbl-2"/>
          <w:p>
            <w:pPr>
              <w:jc w:val="center"/>
            </w:pPr>
            <w:pPr>
              <w:jc w:val="start"/>
              <w:spacing w:before="200"/>
              <w:pStyle w:val="ImageCaption"/>
            </w:pPr>
            <w:r>
              <w:t xml:space="preserve">Table 6: ARDL results on four specifications</w:t>
            </w:r>
          </w:p>
          <w:tbl>
            <w:tblPr>
              <w:tblStyle w:val="Table"/>
              <w:tblW w:type="pct" w:w="4028"/>
              <w:tblLook w:firstRow="1" w:lastRow="1" w:firstColumn="0" w:lastColumn="0" w:noHBand="0" w:noVBand="0" w:val="0020"/>
              <w:jc w:val="start"/>
              <w:tblLayout w:type="fixed"/>
            </w:tblPr>
            <w:tblGrid>
              <w:gridCol w:w="1540"/>
              <w:gridCol w:w="1210"/>
              <w:gridCol w:w="1210"/>
              <w:gridCol w:w="1210"/>
              <w:gridCol w:w="1210"/>
            </w:tblGrid>
            <w:tr>
              <w:trPr>
                <w:tblHeader w:val="true"/>
              </w:trPr>
              <w:tc>
                <w:tcPr/>
                <w:p>
                  <w:pPr>
                    <w:pStyle w:val="Compact"/>
                  </w:pPr>
                </w:p>
              </w:tc>
              <w:tc>
                <w:tcPr/>
                <w:p>
                  <w:pPr>
                    <w:pStyle w:val="Compact"/>
                    <w:jc w:val="left"/>
                    <w:jc w:val="center"/>
                  </w:pPr>
                  <w:r>
                    <w:t xml:space="preserve">Export 1</w:t>
                  </w:r>
                </w:p>
              </w:tc>
              <w:tc>
                <w:tcPr/>
                <w:p>
                  <w:pPr>
                    <w:pStyle w:val="Compact"/>
                    <w:jc w:val="left"/>
                    <w:jc w:val="center"/>
                  </w:pPr>
                  <w:r>
                    <w:t xml:space="preserve">Export 2</w:t>
                  </w:r>
                </w:p>
              </w:tc>
              <w:tc>
                <w:tcPr/>
                <w:p>
                  <w:pPr>
                    <w:pStyle w:val="Compact"/>
                    <w:jc w:val="left"/>
                    <w:jc w:val="center"/>
                  </w:pPr>
                  <w:r>
                    <w:t xml:space="preserve">GDP 1</w:t>
                  </w:r>
                </w:p>
              </w:tc>
              <w:tc>
                <w:tcPr/>
                <w:p>
                  <w:pPr>
                    <w:pStyle w:val="Compact"/>
                    <w:jc w:val="left"/>
                    <w:jc w:val="center"/>
                  </w:pPr>
                  <w:r>
                    <w:t xml:space="preserve">GDP 2</w:t>
                  </w:r>
                </w:p>
              </w:tc>
            </w:tr>
            <w:tr>
              <w:tc>
                <w:tcPr/>
                <w:p>
                  <w:pPr>
                    <w:pStyle w:val="Compact"/>
                    <w:jc w:val="left"/>
                    <w:jc w:val="center"/>
                  </w:pPr>
                  <w:r>
                    <w:t xml:space="preserve">(Intercept)</w:t>
                  </w:r>
                </w:p>
              </w:tc>
              <w:tc>
                <w:tcPr/>
                <w:p>
                  <w:pPr>
                    <w:pStyle w:val="Compact"/>
                    <w:jc w:val="left"/>
                    <w:jc w:val="center"/>
                  </w:pPr>
                  <w:r>
                    <w:t xml:space="preserve">0.704</w:t>
                  </w:r>
                </w:p>
              </w:tc>
              <w:tc>
                <w:tcPr/>
                <w:p>
                  <w:pPr>
                    <w:pStyle w:val="Compact"/>
                    <w:jc w:val="left"/>
                    <w:jc w:val="center"/>
                  </w:pPr>
                  <w:r>
                    <w:t xml:space="preserve">1.354+</w:t>
                  </w:r>
                </w:p>
              </w:tc>
              <w:tc>
                <w:tcPr/>
                <w:p>
                  <w:pPr>
                    <w:pStyle w:val="Compact"/>
                    <w:jc w:val="left"/>
                    <w:jc w:val="center"/>
                  </w:pPr>
                  <w:r>
                    <w:t xml:space="preserve">0.112</w:t>
                  </w:r>
                </w:p>
              </w:tc>
              <w:tc>
                <w:tcPr/>
                <w:p>
                  <w:pPr>
                    <w:pStyle w:val="Compact"/>
                    <w:jc w:val="left"/>
                    <w:jc w:val="center"/>
                  </w:pPr>
                  <w:r>
                    <w:t xml:space="preserve">0.243+</w:t>
                  </w:r>
                </w:p>
              </w:tc>
            </w:tr>
            <w:tr>
              <w:tc>
                <w:tcPr/>
                <w:p>
                  <w:pPr>
                    <w:pStyle w:val="Compact"/>
                  </w:pPr>
                </w:p>
              </w:tc>
              <w:tc>
                <w:tcPr/>
                <w:p>
                  <w:pPr>
                    <w:pStyle w:val="Compact"/>
                    <w:jc w:val="left"/>
                    <w:jc w:val="center"/>
                  </w:pPr>
                  <w:r>
                    <w:t xml:space="preserve">(0.724)</w:t>
                  </w:r>
                </w:p>
              </w:tc>
              <w:tc>
                <w:tcPr/>
                <w:p>
                  <w:pPr>
                    <w:pStyle w:val="Compact"/>
                    <w:jc w:val="left"/>
                    <w:jc w:val="center"/>
                  </w:pPr>
                  <w:r>
                    <w:t xml:space="preserve">(0.692)</w:t>
                  </w:r>
                </w:p>
              </w:tc>
              <w:tc>
                <w:tcPr/>
                <w:p>
                  <w:pPr>
                    <w:pStyle w:val="Compact"/>
                    <w:jc w:val="left"/>
                    <w:jc w:val="center"/>
                  </w:pPr>
                  <w:r>
                    <w:t xml:space="preserve">(0.127)</w:t>
                  </w:r>
                </w:p>
              </w:tc>
              <w:tc>
                <w:tcPr/>
                <w:p>
                  <w:pPr>
                    <w:pStyle w:val="Compact"/>
                    <w:jc w:val="left"/>
                    <w:jc w:val="center"/>
                  </w:pPr>
                  <w:r>
                    <w:t xml:space="preserve">(0.128)</w:t>
                  </w:r>
                </w:p>
              </w:tc>
            </w:tr>
            <w:tr>
              <w:tc>
                <w:tcPr/>
                <w:p>
                  <w:pPr>
                    <w:pStyle w:val="Compact"/>
                    <w:jc w:val="left"/>
                    <w:jc w:val="center"/>
                  </w:pPr>
                  <w:r>
                    <w:t xml:space="preserve">L(exM, 1)</w:t>
                  </w:r>
                </w:p>
              </w:tc>
              <w:tc>
                <w:tcPr/>
                <w:p>
                  <w:pPr>
                    <w:pStyle w:val="Compact"/>
                    <w:jc w:val="left"/>
                    <w:jc w:val="center"/>
                  </w:pPr>
                  <w:r>
                    <w:t xml:space="preserve">0.676**</w:t>
                  </w:r>
                </w:p>
              </w:tc>
              <w:tc>
                <w:tcPr/>
                <w:p>
                  <w:pPr>
                    <w:pStyle w:val="Compact"/>
                    <w:jc w:val="left"/>
                    <w:jc w:val="center"/>
                  </w:pPr>
                  <w:r>
                    <w:t xml:space="preserve">1.135***</w:t>
                  </w:r>
                </w:p>
              </w:tc>
              <w:tc>
                <w:tcPr/>
                <w:p>
                  <w:pPr>
                    <w:pStyle w:val="Compact"/>
                  </w:pPr>
                </w:p>
              </w:tc>
              <w:tc>
                <w:tcPr/>
                <w:p>
                  <w:pPr>
                    <w:pStyle w:val="Compact"/>
                  </w:pPr>
                </w:p>
              </w:tc>
            </w:tr>
            <w:tr>
              <w:tc>
                <w:tcPr/>
                <w:p>
                  <w:pPr>
                    <w:pStyle w:val="Compact"/>
                  </w:pPr>
                </w:p>
              </w:tc>
              <w:tc>
                <w:tcPr/>
                <w:p>
                  <w:pPr>
                    <w:pStyle w:val="Compact"/>
                    <w:jc w:val="left"/>
                    <w:jc w:val="center"/>
                  </w:pPr>
                  <w:r>
                    <w:t xml:space="preserve">(0.222)</w:t>
                  </w:r>
                </w:p>
              </w:tc>
              <w:tc>
                <w:tcPr/>
                <w:p>
                  <w:pPr>
                    <w:pStyle w:val="Compact"/>
                    <w:jc w:val="left"/>
                    <w:jc w:val="center"/>
                  </w:pPr>
                  <w:r>
                    <w:t xml:space="preserve">(0.177)</w:t>
                  </w:r>
                </w:p>
              </w:tc>
              <w:tc>
                <w:tcPr/>
                <w:p>
                  <w:pPr>
                    <w:pStyle w:val="Compact"/>
                  </w:pPr>
                </w:p>
              </w:tc>
              <w:tc>
                <w:tcPr/>
                <w:p>
                  <w:pPr>
                    <w:pStyle w:val="Compact"/>
                  </w:pPr>
                </w:p>
              </w:tc>
            </w:tr>
            <w:tr>
              <w:tc>
                <w:tcPr/>
                <w:p>
                  <w:pPr>
                    <w:pStyle w:val="Compact"/>
                    <w:jc w:val="left"/>
                    <w:jc w:val="center"/>
                  </w:pPr>
                  <w:r>
                    <w:t xml:space="preserve">imM</w:t>
                  </w:r>
                </w:p>
              </w:tc>
              <w:tc>
                <w:tcPr/>
                <w:p>
                  <w:pPr>
                    <w:pStyle w:val="Compact"/>
                    <w:jc w:val="left"/>
                    <w:jc w:val="center"/>
                  </w:pPr>
                  <w:r>
                    <w:t xml:space="preserve">0.273</w:t>
                  </w:r>
                </w:p>
              </w:tc>
              <w:tc>
                <w:tcPr/>
                <w:p>
                  <w:pPr>
                    <w:pStyle w:val="Compact"/>
                    <w:jc w:val="left"/>
                    <w:jc w:val="center"/>
                  </w:pPr>
                  <w:r>
                    <w:t xml:space="preserve">0.307*</w:t>
                  </w:r>
                </w:p>
              </w:tc>
              <w:tc>
                <w:tcPr/>
                <w:p>
                  <w:pPr>
                    <w:pStyle w:val="Compact"/>
                    <w:jc w:val="left"/>
                    <w:jc w:val="center"/>
                  </w:pPr>
                  <w:r>
                    <w:t xml:space="preserve">-0.003</w:t>
                  </w:r>
                </w:p>
              </w:tc>
              <w:tc>
                <w:tcPr/>
                <w:p>
                  <w:pPr>
                    <w:pStyle w:val="Compact"/>
                    <w:jc w:val="left"/>
                    <w:jc w:val="center"/>
                  </w:pPr>
                  <w:r>
                    <w:t xml:space="preserve">-0.023</w:t>
                  </w:r>
                </w:p>
              </w:tc>
            </w:tr>
            <w:tr>
              <w:tc>
                <w:tcPr/>
                <w:p>
                  <w:pPr>
                    <w:pStyle w:val="Compact"/>
                  </w:pPr>
                </w:p>
              </w:tc>
              <w:tc>
                <w:tcPr/>
                <w:p>
                  <w:pPr>
                    <w:pStyle w:val="Compact"/>
                    <w:jc w:val="left"/>
                    <w:jc w:val="center"/>
                  </w:pPr>
                  <w:r>
                    <w:t xml:space="preserve">(0.184)</w:t>
                  </w:r>
                </w:p>
              </w:tc>
              <w:tc>
                <w:tcPr/>
                <w:p>
                  <w:pPr>
                    <w:pStyle w:val="Compact"/>
                    <w:jc w:val="left"/>
                    <w:jc w:val="center"/>
                  </w:pPr>
                  <w:r>
                    <w:t xml:space="preserve">(0.127)</w:t>
                  </w:r>
                </w:p>
              </w:tc>
              <w:tc>
                <w:tcPr/>
                <w:p>
                  <w:pPr>
                    <w:pStyle w:val="Compact"/>
                    <w:jc w:val="left"/>
                    <w:jc w:val="center"/>
                  </w:pPr>
                  <w:r>
                    <w:t xml:space="preserve">(0.020)</w:t>
                  </w:r>
                </w:p>
              </w:tc>
              <w:tc>
                <w:tcPr/>
                <w:p>
                  <w:pPr>
                    <w:pStyle w:val="Compact"/>
                    <w:jc w:val="left"/>
                    <w:jc w:val="center"/>
                  </w:pPr>
                  <w:r>
                    <w:t xml:space="preserve">(0.022)</w:t>
                  </w:r>
                </w:p>
              </w:tc>
            </w:tr>
            <w:tr>
              <w:tc>
                <w:tcPr/>
                <w:p>
                  <w:pPr>
                    <w:pStyle w:val="Compact"/>
                    <w:jc w:val="left"/>
                    <w:jc w:val="center"/>
                  </w:pPr>
                  <w:r>
                    <w:t xml:space="preserve">imSev</w:t>
                  </w:r>
                </w:p>
              </w:tc>
              <w:tc>
                <w:tcPr/>
                <w:p>
                  <w:pPr>
                    <w:pStyle w:val="Compact"/>
                    <w:jc w:val="left"/>
                    <w:jc w:val="center"/>
                  </w:pPr>
                  <w:r>
                    <w:t xml:space="preserve">-0.106</w:t>
                  </w:r>
                </w:p>
              </w:tc>
              <w:tc>
                <w:tcPr/>
                <w:p>
                  <w:pPr>
                    <w:pStyle w:val="Compact"/>
                    <w:jc w:val="left"/>
                    <w:jc w:val="center"/>
                  </w:pPr>
                  <w:r>
                    <w:t xml:space="preserve">-0.130</w:t>
                  </w:r>
                </w:p>
              </w:tc>
              <w:tc>
                <w:tcPr/>
                <w:p>
                  <w:pPr>
                    <w:pStyle w:val="Compact"/>
                    <w:jc w:val="left"/>
                    <w:jc w:val="center"/>
                  </w:pPr>
                  <w:r>
                    <w:t xml:space="preserve">0.098**</w:t>
                  </w:r>
                </w:p>
              </w:tc>
              <w:tc>
                <w:tcPr/>
                <w:p>
                  <w:pPr>
                    <w:pStyle w:val="Compact"/>
                    <w:jc w:val="left"/>
                    <w:jc w:val="center"/>
                  </w:pPr>
                  <w:r>
                    <w:t xml:space="preserve">0.110***</w:t>
                  </w:r>
                </w:p>
              </w:tc>
            </w:tr>
            <w:tr>
              <w:tc>
                <w:tcPr/>
                <w:p>
                  <w:pPr>
                    <w:pStyle w:val="Compact"/>
                  </w:pPr>
                </w:p>
              </w:tc>
              <w:tc>
                <w:tcPr/>
                <w:p>
                  <w:pPr>
                    <w:pStyle w:val="Compact"/>
                    <w:jc w:val="left"/>
                    <w:jc w:val="center"/>
                  </w:pPr>
                  <w:r>
                    <w:t xml:space="preserve">(0.247)</w:t>
                  </w:r>
                </w:p>
              </w:tc>
              <w:tc>
                <w:tcPr/>
                <w:p>
                  <w:pPr>
                    <w:pStyle w:val="Compact"/>
                    <w:jc w:val="left"/>
                    <w:jc w:val="center"/>
                  </w:pPr>
                  <w:r>
                    <w:t xml:space="preserve">(0.146)</w:t>
                  </w:r>
                </w:p>
              </w:tc>
              <w:tc>
                <w:tcPr/>
                <w:p>
                  <w:pPr>
                    <w:pStyle w:val="Compact"/>
                    <w:jc w:val="left"/>
                    <w:jc w:val="center"/>
                  </w:pPr>
                  <w:r>
                    <w:t xml:space="preserve">(0.029)</w:t>
                  </w:r>
                </w:p>
              </w:tc>
              <w:tc>
                <w:tcPr/>
                <w:p>
                  <w:pPr>
                    <w:pStyle w:val="Compact"/>
                    <w:jc w:val="left"/>
                    <w:jc w:val="center"/>
                  </w:pPr>
                  <w:r>
                    <w:t xml:space="preserve">(0.024)</w:t>
                  </w:r>
                </w:p>
              </w:tc>
            </w:tr>
            <w:tr>
              <w:tc>
                <w:tcPr/>
                <w:p>
                  <w:pPr>
                    <w:pStyle w:val="Compact"/>
                    <w:jc w:val="left"/>
                    <w:jc w:val="center"/>
                  </w:pPr>
                  <w:r>
                    <w:t xml:space="preserve">L(imM, 1)</w:t>
                  </w:r>
                </w:p>
              </w:tc>
              <w:tc>
                <w:tcPr/>
                <w:p>
                  <w:pPr>
                    <w:pStyle w:val="Compact"/>
                  </w:pPr>
                </w:p>
              </w:tc>
              <w:tc>
                <w:tcPr/>
                <w:p>
                  <w:pPr>
                    <w:pStyle w:val="Compact"/>
                    <w:jc w:val="left"/>
                    <w:jc w:val="center"/>
                  </w:pPr>
                  <w:r>
                    <w:t xml:space="preserve">-0.151</w:t>
                  </w:r>
                </w:p>
              </w:tc>
              <w:tc>
                <w:tcPr/>
                <w:p>
                  <w:pPr>
                    <w:pStyle w:val="Compact"/>
                  </w:pPr>
                </w:p>
              </w:tc>
              <w:tc>
                <w:tcPr/>
                <w:p>
                  <w:pPr>
                    <w:pStyle w:val="Compact"/>
                    <w:jc w:val="left"/>
                    <w:jc w:val="center"/>
                  </w:pPr>
                  <w:r>
                    <w:t xml:space="preserve">0.031</w:t>
                  </w:r>
                </w:p>
              </w:tc>
            </w:tr>
            <w:tr>
              <w:tc>
                <w:tcPr/>
                <w:p>
                  <w:pPr>
                    <w:pStyle w:val="Compact"/>
                  </w:pPr>
                </w:p>
              </w:tc>
              <w:tc>
                <w:tcPr/>
                <w:p>
                  <w:pPr>
                    <w:pStyle w:val="Compact"/>
                  </w:pPr>
                </w:p>
              </w:tc>
              <w:tc>
                <w:tcPr/>
                <w:p>
                  <w:pPr>
                    <w:pStyle w:val="Compact"/>
                    <w:jc w:val="left"/>
                    <w:jc w:val="center"/>
                  </w:pPr>
                  <w:r>
                    <w:t xml:space="preserve">(0.166)</w:t>
                  </w:r>
                </w:p>
              </w:tc>
              <w:tc>
                <w:tcPr/>
                <w:p>
                  <w:pPr>
                    <w:pStyle w:val="Compact"/>
                  </w:pPr>
                </w:p>
              </w:tc>
              <w:tc>
                <w:tcPr/>
                <w:p>
                  <w:pPr>
                    <w:pStyle w:val="Compact"/>
                    <w:jc w:val="left"/>
                    <w:jc w:val="center"/>
                  </w:pPr>
                  <w:r>
                    <w:t xml:space="preserve">(0.023)</w:t>
                  </w:r>
                </w:p>
              </w:tc>
            </w:tr>
            <w:tr>
              <w:tc>
                <w:tcPr/>
                <w:p>
                  <w:pPr>
                    <w:pStyle w:val="Compact"/>
                    <w:jc w:val="left"/>
                    <w:jc w:val="center"/>
                  </w:pPr>
                  <w:r>
                    <w:t xml:space="preserve">L(imSev, 1)</w:t>
                  </w:r>
                </w:p>
              </w:tc>
              <w:tc>
                <w:tcPr/>
                <w:p>
                  <w:pPr>
                    <w:pStyle w:val="Compact"/>
                  </w:pPr>
                </w:p>
              </w:tc>
              <w:tc>
                <w:tcPr/>
                <w:p>
                  <w:pPr>
                    <w:pStyle w:val="Compact"/>
                    <w:jc w:val="left"/>
                    <w:jc w:val="center"/>
                  </w:pPr>
                  <w:r>
                    <w:t xml:space="preserve">-0.485*</w:t>
                  </w:r>
                </w:p>
              </w:tc>
              <w:tc>
                <w:tcPr/>
                <w:p>
                  <w:pPr>
                    <w:pStyle w:val="Compact"/>
                  </w:pPr>
                </w:p>
              </w:tc>
              <w:tc>
                <w:tcPr/>
                <w:p>
                  <w:pPr>
                    <w:pStyle w:val="Compact"/>
                    <w:jc w:val="left"/>
                    <w:jc w:val="center"/>
                  </w:pPr>
                  <w:r>
                    <w:t xml:space="preserve">-0.083*</w:t>
                  </w:r>
                </w:p>
              </w:tc>
            </w:tr>
            <w:tr>
              <w:tc>
                <w:tcPr/>
                <w:p>
                  <w:pPr>
                    <w:pStyle w:val="Compact"/>
                  </w:pPr>
                </w:p>
              </w:tc>
              <w:tc>
                <w:tcPr/>
                <w:p>
                  <w:pPr>
                    <w:pStyle w:val="Compact"/>
                  </w:pPr>
                </w:p>
              </w:tc>
              <w:tc>
                <w:tcPr/>
                <w:p>
                  <w:pPr>
                    <w:pStyle w:val="Compact"/>
                    <w:jc w:val="left"/>
                    <w:jc w:val="center"/>
                  </w:pPr>
                  <w:r>
                    <w:t xml:space="preserve">(0.182)</w:t>
                  </w:r>
                </w:p>
              </w:tc>
              <w:tc>
                <w:tcPr/>
                <w:p>
                  <w:pPr>
                    <w:pStyle w:val="Compact"/>
                  </w:pPr>
                </w:p>
              </w:tc>
              <w:tc>
                <w:tcPr/>
                <w:p>
                  <w:pPr>
                    <w:pStyle w:val="Compact"/>
                    <w:jc w:val="left"/>
                    <w:jc w:val="center"/>
                  </w:pPr>
                  <w:r>
                    <w:t xml:space="preserve">(0.030)</w:t>
                  </w:r>
                </w:p>
              </w:tc>
            </w:tr>
            <w:tr>
              <w:tc>
                <w:tcPr/>
                <w:p>
                  <w:pPr>
                    <w:pStyle w:val="Compact"/>
                    <w:jc w:val="left"/>
                    <w:jc w:val="center"/>
                  </w:pPr>
                  <w:r>
                    <w:t xml:space="preserve">L(pdb, 1)</w:t>
                  </w:r>
                </w:p>
              </w:tc>
              <w:tc>
                <w:tcPr/>
                <w:p>
                  <w:pPr>
                    <w:pStyle w:val="Compact"/>
                  </w:pPr>
                </w:p>
              </w:tc>
              <w:tc>
                <w:tcPr/>
                <w:p>
                  <w:pPr>
                    <w:pStyle w:val="Compact"/>
                  </w:pPr>
                </w:p>
              </w:tc>
              <w:tc>
                <w:tcPr/>
                <w:p>
                  <w:pPr>
                    <w:pStyle w:val="Compact"/>
                    <w:jc w:val="left"/>
                    <w:jc w:val="center"/>
                  </w:pPr>
                  <w:r>
                    <w:t xml:space="preserve">0.917***</w:t>
                  </w:r>
                </w:p>
              </w:tc>
              <w:tc>
                <w:tcPr/>
                <w:p>
                  <w:pPr>
                    <w:pStyle w:val="Compact"/>
                    <w:jc w:val="left"/>
                    <w:jc w:val="center"/>
                  </w:pPr>
                  <w:r>
                    <w:t xml:space="preserve">0.938***</w:t>
                  </w:r>
                </w:p>
              </w:tc>
            </w:tr>
            <w:tr>
              <w:tc>
                <w:tcPr/>
                <w:p>
                  <w:pPr>
                    <w:pStyle w:val="Compact"/>
                  </w:pPr>
                </w:p>
              </w:tc>
              <w:tc>
                <w:tcPr/>
                <w:p>
                  <w:pPr>
                    <w:pStyle w:val="Compact"/>
                  </w:pPr>
                </w:p>
              </w:tc>
              <w:tc>
                <w:tcPr/>
                <w:p>
                  <w:pPr>
                    <w:pStyle w:val="Compact"/>
                  </w:pPr>
                </w:p>
              </w:tc>
              <w:tc>
                <w:tcPr/>
                <w:p>
                  <w:pPr>
                    <w:pStyle w:val="Compact"/>
                    <w:jc w:val="left"/>
                    <w:jc w:val="center"/>
                  </w:pPr>
                  <w:r>
                    <w:t xml:space="preserve">(0.024)</w:t>
                  </w:r>
                </w:p>
              </w:tc>
              <w:tc>
                <w:tcPr/>
                <w:p>
                  <w:pPr>
                    <w:pStyle w:val="Compact"/>
                    <w:jc w:val="left"/>
                    <w:jc w:val="center"/>
                  </w:pPr>
                  <w:r>
                    <w:t xml:space="preserve">(0.022)</w:t>
                  </w:r>
                </w:p>
              </w:tc>
            </w:tr>
            <w:tr>
              <w:tc>
                <w:tcPr/>
                <w:p>
                  <w:pPr>
                    <w:pStyle w:val="Compact"/>
                    <w:jc w:val="left"/>
                    <w:jc w:val="center"/>
                  </w:pPr>
                  <w:r>
                    <w:t xml:space="preserve">Num.Obs.</w:t>
                  </w:r>
                </w:p>
              </w:tc>
              <w:tc>
                <w:tcPr/>
                <w:p>
                  <w:pPr>
                    <w:pStyle w:val="Compact"/>
                    <w:jc w:val="left"/>
                    <w:jc w:val="center"/>
                  </w:pPr>
                  <w:r>
                    <w:t xml:space="preserve">18</w:t>
                  </w:r>
                </w:p>
              </w:tc>
              <w:tc>
                <w:tcPr/>
                <w:p>
                  <w:pPr>
                    <w:pStyle w:val="Compact"/>
                    <w:jc w:val="left"/>
                    <w:jc w:val="center"/>
                  </w:pPr>
                  <w:r>
                    <w:t xml:space="preserve">18</w:t>
                  </w:r>
                </w:p>
              </w:tc>
              <w:tc>
                <w:tcPr/>
                <w:p>
                  <w:pPr>
                    <w:pStyle w:val="Compact"/>
                    <w:jc w:val="left"/>
                    <w:jc w:val="center"/>
                  </w:pPr>
                  <w:r>
                    <w:t xml:space="preserve">18</w:t>
                  </w:r>
                </w:p>
              </w:tc>
              <w:tc>
                <w:tcPr/>
                <w:p>
                  <w:pPr>
                    <w:pStyle w:val="Compact"/>
                    <w:jc w:val="left"/>
                    <w:jc w:val="center"/>
                  </w:pPr>
                  <w:r>
                    <w:t xml:space="preserve">18</w:t>
                  </w:r>
                </w:p>
              </w:tc>
            </w:tr>
            <w:tr>
              <w:tc>
                <w:tcPr/>
                <w:p>
                  <w:pPr>
                    <w:pStyle w:val="Compact"/>
                    <w:jc w:val="left"/>
                    <w:jc w:val="center"/>
                  </w:pPr>
                  <w:r>
                    <w:t xml:space="preserve">R2</w:t>
                  </w:r>
                </w:p>
              </w:tc>
              <w:tc>
                <w:tcPr/>
                <w:p>
                  <w:pPr>
                    <w:pStyle w:val="Compact"/>
                    <w:jc w:val="left"/>
                    <w:jc w:val="center"/>
                  </w:pPr>
                  <w:r>
                    <w:t xml:space="preserve">0.881</w:t>
                  </w:r>
                </w:p>
              </w:tc>
              <w:tc>
                <w:tcPr/>
                <w:p>
                  <w:pPr>
                    <w:pStyle w:val="Compact"/>
                    <w:jc w:val="left"/>
                    <w:jc w:val="center"/>
                  </w:pPr>
                  <w:r>
                    <w:t xml:space="preserve">0.967</w:t>
                  </w:r>
                </w:p>
              </w:tc>
              <w:tc>
                <w:tcPr/>
                <w:p>
                  <w:pPr>
                    <w:pStyle w:val="Compact"/>
                    <w:jc w:val="left"/>
                    <w:jc w:val="center"/>
                  </w:pPr>
                  <w:r>
                    <w:t xml:space="preserve">0.997</w:t>
                  </w:r>
                </w:p>
              </w:tc>
              <w:tc>
                <w:tcPr/>
                <w:p>
                  <w:pPr>
                    <w:pStyle w:val="Compact"/>
                    <w:jc w:val="left"/>
                    <w:jc w:val="center"/>
                  </w:pPr>
                  <w:r>
                    <w:t xml:space="preserve">0.998</w:t>
                  </w:r>
                </w:p>
              </w:tc>
            </w:tr>
            <w:tr>
              <w:tc>
                <w:tcPr/>
                <w:p>
                  <w:pPr>
                    <w:pStyle w:val="Compact"/>
                    <w:jc w:val="left"/>
                    <w:jc w:val="center"/>
                  </w:pPr>
                  <w:r>
                    <w:t xml:space="preserve">Log.Lik.</w:t>
                  </w:r>
                </w:p>
              </w:tc>
              <w:tc>
                <w:tcPr/>
                <w:p>
                  <w:pPr>
                    <w:pStyle w:val="Compact"/>
                    <w:jc w:val="left"/>
                    <w:jc w:val="center"/>
                  </w:pPr>
                  <w:r>
                    <w:t xml:space="preserve">32.291</w:t>
                  </w:r>
                </w:p>
              </w:tc>
              <w:tc>
                <w:tcPr/>
                <w:p>
                  <w:pPr>
                    <w:pStyle w:val="Compact"/>
                    <w:jc w:val="left"/>
                    <w:jc w:val="center"/>
                  </w:pPr>
                  <w:r>
                    <w:t xml:space="preserve">43.772</w:t>
                  </w:r>
                </w:p>
              </w:tc>
              <w:tc>
                <w:tcPr/>
                <w:p>
                  <w:pPr>
                    <w:pStyle w:val="Compact"/>
                    <w:jc w:val="left"/>
                    <w:jc w:val="center"/>
                  </w:pPr>
                  <w:r>
                    <w:t xml:space="preserve">70.818</w:t>
                  </w:r>
                </w:p>
              </w:tc>
              <w:tc>
                <w:tcPr/>
                <w:p>
                  <w:pPr>
                    <w:pStyle w:val="Compact"/>
                    <w:jc w:val="left"/>
                    <w:jc w:val="center"/>
                  </w:pPr>
                  <w:r>
                    <w:t xml:space="preserve">76.085</w:t>
                  </w:r>
                </w:p>
              </w:tc>
            </w:tr>
            <w:tr>
              <w:tc>
                <w:tcPr/>
                <w:p>
                  <w:pPr>
                    <w:pStyle w:val="Compact"/>
                    <w:jc w:val="left"/>
                    <w:jc w:val="center"/>
                  </w:pPr>
                  <w:r>
                    <w:t xml:space="preserve">RMSE</w:t>
                  </w:r>
                </w:p>
              </w:tc>
              <w:tc>
                <w:tcPr/>
                <w:p>
                  <w:pPr>
                    <w:pStyle w:val="Compact"/>
                    <w:jc w:val="left"/>
                    <w:jc w:val="center"/>
                  </w:pPr>
                  <w:r>
                    <w:t xml:space="preserve">0.04</w:t>
                  </w:r>
                </w:p>
              </w:tc>
              <w:tc>
                <w:tcPr/>
                <w:p>
                  <w:pPr>
                    <w:pStyle w:val="Compact"/>
                    <w:jc w:val="left"/>
                    <w:jc w:val="center"/>
                  </w:pPr>
                  <w:r>
                    <w:t xml:space="preserve">0.02</w:t>
                  </w:r>
                </w:p>
              </w:tc>
              <w:tc>
                <w:tcPr/>
                <w:p>
                  <w:pPr>
                    <w:pStyle w:val="Compact"/>
                    <w:jc w:val="left"/>
                    <w:jc w:val="center"/>
                  </w:pPr>
                  <w:r>
                    <w:t xml:space="preserve">0.00</w:t>
                  </w:r>
                </w:p>
              </w:tc>
              <w:tc>
                <w:tcPr/>
                <w:p>
                  <w:pPr>
                    <w:pStyle w:val="Compact"/>
                    <w:jc w:val="left"/>
                    <w:jc w:val="center"/>
                  </w:pPr>
                  <w:r>
                    <w:t xml:space="preserve">0.00</w:t>
                  </w:r>
                </w:p>
              </w:tc>
            </w:tr>
            <w:tr>
              <w:tc>
                <w:tcPr>
                  <w:gridSpan w:val="5"/>
                </w:tcPr>
                <w:p>
                  <w:pPr>
                    <w:numPr>
                      <w:ilvl w:val="0"/>
                      <w:numId w:val="1003"/>
                    </w:numPr>
                    <w:pStyle w:val="Compact"/>
                    <w:jc w:val="left"/>
                    <w:jc w:val="center"/>
                  </w:pPr>
                  <w:r>
                    <w:t xml:space="preserve">p &lt; 0.1, * p &lt; 0.05, ** p &lt; 0.01, *** p &lt; 0.001</w:t>
                  </w:r>
                </w:p>
              </w:tc>
            </w:tr>
          </w:tbl>
          <w:bookmarkEnd w:id="100"/>
          <w:p/>
        </w:tc>
      </w:tr>
    </w:tbl>
    <w:p>
      <w:pPr>
        <w:pStyle w:val="FirstParagraph"/>
      </w:pPr>
      <w:hyperlink w:anchor="tbl-2">
        <w:r>
          <w:rPr>
            <w:rStyle w:val="Hyperlink"/>
          </w:rPr>
          <w:t xml:space="preserve">Table 6</w:t>
        </w:r>
      </w:hyperlink>
      <w:r>
        <w:t xml:space="preserve"> </w:t>
      </w:r>
      <w:r>
        <w:t xml:space="preserve">shows that Indonesia’s current import service does not seem to contribute much to the country’s manufacturing export. The coefficient is found to be negative but not different from zero. This does not seem to be surprising since it corroborates findings in</w:t>
      </w:r>
      <w:r>
        <w:t xml:space="preserve"> </w:t>
      </w:r>
      <w:hyperlink w:anchor="tbl-regv">
        <w:r>
          <w:rPr>
            <w:rStyle w:val="Hyperlink"/>
          </w:rPr>
          <w:t xml:space="preserve">Table 3</w:t>
        </w:r>
      </w:hyperlink>
      <w:r>
        <w:t xml:space="preserve"> </w:t>
      </w:r>
      <w:r>
        <w:t xml:space="preserve">and</w:t>
      </w:r>
      <w:r>
        <w:t xml:space="preserve"> </w:t>
      </w:r>
      <w:hyperlink w:anchor="tbl-regv">
        <w:r>
          <w:rPr>
            <w:rStyle w:val="Hyperlink"/>
          </w:rPr>
          <w:t xml:space="preserve">Table 3</w:t>
        </w:r>
      </w:hyperlink>
      <w:r>
        <w:t xml:space="preserve">. Additionally, Indonesian firms does not seem to have much in house services to begin with, and those who do are only a small fraction of very productive firms</w:t>
      </w:r>
      <w:r>
        <w:t xml:space="preserve"> </w:t>
      </w:r>
      <w:r>
        <w:t xml:space="preserve">(Hing and Thangavelu 2023)</w:t>
      </w:r>
      <w:r>
        <w:t xml:space="preserve">.</w:t>
      </w:r>
    </w:p>
    <w:p>
      <w:pPr>
        <w:pStyle w:val="BodyText"/>
      </w:pPr>
      <w:r>
        <w:t xml:space="preserve">For manufacturing output, however, we find that import services correlates significantly with manufacturing output. A 1% increase in service import correlates with a 0.1% increase in manufacturing output. This correlation may stem from imported goods import. That is, Indonesian manufacturers requires various imported intermediate inputs. Therefore, increasing production requires importing various goods, increasing the use of transport service, which is dominated by foreign firms. This explains why imported service does not correlate with manufacturing export, and why manufactures import correlates positively with exports.</w:t>
      </w:r>
    </w:p>
    <w:p>
      <w:pPr>
        <w:pStyle w:val="BodyText"/>
      </w:pPr>
      <w:r>
        <w:t xml:space="preserve">This findings seem to suggests that Indonesian manufacturing use services mostly for international trade purposes. Since transport dominates Indonesia’s trade in services, it seems to suggest that Indonesian manufacturing does not use services outside of transport. Something like consulting for marketing purposes or research and development sourced from abroad is not yet widely used by Indonesian manufacturing. Considering the government is trying to boost manufacturing output using Indonesia 4.0 program, this type of services may have a room to grow.</w:t>
      </w:r>
    </w:p>
    <w:p>
      <w:pPr>
        <w:pStyle w:val="BodyText"/>
      </w:pPr>
      <w:r>
        <w:t xml:space="preserve">This study is limited by the use of a rather aggregated data. While this study can show a more helicopter view of Indonesia’s trade in services dynamics, it failed to capture the benefit of services trade in a more micro setting. We do not have the same level access of manufacturing firms’ data as</w:t>
      </w:r>
      <w:r>
        <w:t xml:space="preserve"> </w:t>
      </w:r>
      <w:r>
        <w:t xml:space="preserve">Hing and Thangavelu (2023)</w:t>
      </w:r>
      <w:r>
        <w:t xml:space="preserve">, but even then it cannot differentiate domestically sourced services with foreign services. It will require a set of data Indonesians not yet produce, which may presents with an opportunity for future data collection project and studies.</w:t>
      </w:r>
    </w:p>
    <w:p>
      <w:pPr>
        <w:pStyle w:val="BodyText"/>
      </w:pPr>
      <w:r>
        <w:t xml:space="preserve">But research in the growth of services sector in general is even more important. The third unbundling suggests Indonesia and the ASEAN region in general can be benefited from the growth of service sectors and embedding services to overall network of productin, even within service sectors</w:t>
      </w:r>
      <w:r>
        <w:t xml:space="preserve"> </w:t>
      </w:r>
      <w:r>
        <w:t xml:space="preserve">(Kimura 2018)</w:t>
      </w:r>
      <w:r>
        <w:t xml:space="preserve">. With more granular data on the service level, future studies on the opportunities to grow from services is promising.</w:t>
      </w:r>
    </w:p>
    <w:bookmarkEnd w:id="101"/>
    <w:bookmarkEnd w:id="102"/>
    <w:bookmarkEnd w:id="103"/>
    <w:bookmarkStart w:id="104" w:name="conclusions-and-policy-implication"/>
    <w:p>
      <w:pPr>
        <w:pStyle w:val="Heading2"/>
      </w:pPr>
      <w:r>
        <w:t xml:space="preserve">Conclusions and policy implication</w:t>
      </w:r>
    </w:p>
    <w:p>
      <w:pPr>
        <w:pStyle w:val="FirstParagraph"/>
      </w:pPr>
      <w:r>
        <w:t xml:space="preserve">With the reduction of trade cost, face-to-face communication in particular, the third unbundling can potentially be the next form of globalization and trade in services to be the next source of growth for many countries including Indonesia. Additionally, Indonesian government has long been very careful with Indonesia’s current account deficit, but have not really paid close attention to trade in services which its always in deficit. This chapter covers the snapshot on Indonesia’s services sector trade in EBOPS classification and maps how much it trade and which countries are important. Moreover, we investigate, using macro data, whether services contribute to the manufacturing sector.</w:t>
      </w:r>
    </w:p>
    <w:p>
      <w:pPr>
        <w:pStyle w:val="BodyText"/>
      </w:pPr>
      <w:r>
        <w:t xml:space="preserve">Our finding suggests Indonesia have not really use much of its services trade to support manufacturing. Moreover, with much of the service imported are transport, it is suggestive that most of the services import is not yet embedded in its manufacturing sector. In fact, with manufacturing sector mostly import inputs and exploit domestic market, transport service will ended up be the main driver of service sector deficit.</w:t>
      </w:r>
    </w:p>
    <w:p>
      <w:pPr>
        <w:pStyle w:val="BodyText"/>
      </w:pPr>
      <w:r>
        <w:t xml:space="preserve">In terms of surplus, travel is Indonesia’s main service export. This is driven by tourism, which is highly concentrated in some areas and got punished heavily by COVID-19 pandemic. Looking for other source of growth in services production and export thus become one of the main challenges for Indonesia. Indonesia should utilize its deep trade agreement better to improve its service sector as an end product or as inputs for other sectors like manufacturing. Additionally, with services often requires highly educated people, improvement in the capability to build human capital is even more crucial, considering the third unbundling is said to be the new face of globalization.</w:t>
      </w:r>
    </w:p>
    <w:bookmarkEnd w:id="104"/>
    <w:bookmarkStart w:id="139" w:name="references"/>
    <w:p>
      <w:pPr>
        <w:pStyle w:val="Heading2"/>
      </w:pPr>
      <w:r>
        <w:t xml:space="preserve">References</w:t>
      </w:r>
    </w:p>
    <w:bookmarkStart w:id="138" w:name="refs"/>
    <w:bookmarkStart w:id="106" w:name="ref-aco2"/>
    <w:p>
      <w:pPr>
        <w:pStyle w:val="Bibliography"/>
      </w:pPr>
      <w:r>
        <w:t xml:space="preserve">Athukorala, Prema-chandra, and Arianto A. Patunru. 2023.</w:t>
      </w:r>
      <w:r>
        <w:t xml:space="preserve"> </w:t>
      </w:r>
      <w:r>
        <w:t xml:space="preserve">“Domestic Value Added, Exports and Employment: An Input–Output Analysis of Indonesian Manufacturing.”</w:t>
      </w:r>
      <w:r>
        <w:t xml:space="preserve"> </w:t>
      </w:r>
      <w:r>
        <w:t xml:space="preserve">Journal Article.</w:t>
      </w:r>
      <w:r>
        <w:t xml:space="preserve"> </w:t>
      </w:r>
      <w:r>
        <w:rPr>
          <w:iCs/>
          <w:i/>
        </w:rPr>
        <w:t xml:space="preserve">Bulletin of Indonesian Economic Studies</w:t>
      </w:r>
      <w:r>
        <w:t xml:space="preserve"> </w:t>
      </w:r>
      <w:r>
        <w:t xml:space="preserve">59 (3): 365–90.</w:t>
      </w:r>
      <w:r>
        <w:t xml:space="preserve"> </w:t>
      </w:r>
      <w:hyperlink r:id="rId105">
        <w:r>
          <w:rPr>
            <w:rStyle w:val="Hyperlink"/>
          </w:rPr>
          <w:t xml:space="preserve">https://doi.org/10.1080/00074918.2022.2134554</w:t>
        </w:r>
      </w:hyperlink>
      <w:r>
        <w:t xml:space="preserve">.</w:t>
      </w:r>
    </w:p>
    <w:bookmarkEnd w:id="106"/>
    <w:bookmarkStart w:id="107" w:name="ref-baldwin1"/>
    <w:p>
      <w:pPr>
        <w:pStyle w:val="Bibliography"/>
      </w:pPr>
      <w:r>
        <w:t xml:space="preserve">Baldwin, Richard. 2011.</w:t>
      </w:r>
      <w:r>
        <w:t xml:space="preserve"> </w:t>
      </w:r>
      <w:r>
        <w:t xml:space="preserve">“21st Cebtury Regionalism: Filling the Gap Between 21st Century Trade and 20th Century Trade Rules.”</w:t>
      </w:r>
      <w:r>
        <w:t xml:space="preserve"> </w:t>
      </w:r>
      <w:r>
        <w:t xml:space="preserve">Journal Article.</w:t>
      </w:r>
      <w:r>
        <w:t xml:space="preserve"> </w:t>
      </w:r>
      <w:r>
        <w:rPr>
          <w:iCs/>
          <w:i/>
        </w:rPr>
        <w:t xml:space="preserve">CEPR Policy Insight</w:t>
      </w:r>
      <w:r>
        <w:t xml:space="preserve"> </w:t>
      </w:r>
      <w:r>
        <w:t xml:space="preserve">56.</w:t>
      </w:r>
    </w:p>
    <w:bookmarkEnd w:id="107"/>
    <w:bookmarkStart w:id="108" w:name="ref-baldwin"/>
    <w:p>
      <w:pPr>
        <w:pStyle w:val="Bibliography"/>
      </w:pPr>
      <w:r>
        <w:t xml:space="preserve">———. 2016.</w:t>
      </w:r>
      <w:r>
        <w:t xml:space="preserve"> </w:t>
      </w:r>
      <w:r>
        <w:rPr>
          <w:iCs/>
          <w:i/>
        </w:rPr>
        <w:t xml:space="preserve">The Great Convergence: Information Technology and the New Globalization</w:t>
      </w:r>
      <w:r>
        <w:t xml:space="preserve">. Book. Belknap Press of Harvard University Press.</w:t>
      </w:r>
    </w:p>
    <w:bookmarkEnd w:id="108"/>
    <w:bookmarkStart w:id="110" w:name="ref-seki"/>
    <w:p>
      <w:pPr>
        <w:pStyle w:val="Bibliography"/>
      </w:pPr>
      <w:r>
        <w:t xml:space="preserve">Bank Indonesia. n.d.</w:t>
      </w:r>
      <w:r>
        <w:t xml:space="preserve"> </w:t>
      </w:r>
      <w:r>
        <w:t xml:space="preserve">“Statistik Ekonomi Dan Keuangan Indonesia.”</w:t>
      </w:r>
      <w:r>
        <w:t xml:space="preserve"> </w:t>
      </w:r>
      <w:r>
        <w:t xml:space="preserve">Dataset. Bank Indonesia,.</w:t>
      </w:r>
      <w:r>
        <w:t xml:space="preserve"> </w:t>
      </w:r>
      <w:hyperlink r:id="rId109">
        <w:r>
          <w:rPr>
            <w:rStyle w:val="Hyperlink"/>
          </w:rPr>
          <w:t xml:space="preserve">https://www.bi.go.id/id/statistik/ekonomi-keuangan/seki/Default.aspx#headingFour</w:t>
        </w:r>
      </w:hyperlink>
      <w:r>
        <w:t xml:space="preserve">.</w:t>
      </w:r>
    </w:p>
    <w:bookmarkEnd w:id="110"/>
    <w:bookmarkStart w:id="112" w:name="ref-hing"/>
    <w:p>
      <w:pPr>
        <w:pStyle w:val="Bibliography"/>
      </w:pPr>
      <w:r>
        <w:t xml:space="preserve">Hing, Vutha, and Shandre Mugan Thangavelu. 2023.</w:t>
      </w:r>
      <w:r>
        <w:t xml:space="preserve"> </w:t>
      </w:r>
      <w:r>
        <w:t xml:space="preserve">“Does Servicification Enhance Firm Productivity? Evidence from Indonesia.”</w:t>
      </w:r>
      <w:r>
        <w:t xml:space="preserve"> </w:t>
      </w:r>
      <w:r>
        <w:t xml:space="preserve">Journal Article.</w:t>
      </w:r>
      <w:r>
        <w:t xml:space="preserve"> </w:t>
      </w:r>
      <w:r>
        <w:rPr>
          <w:iCs/>
          <w:i/>
        </w:rPr>
        <w:t xml:space="preserve">Journal of Southeast Asian Economies</w:t>
      </w:r>
      <w:r>
        <w:t xml:space="preserve"> </w:t>
      </w:r>
      <w:r>
        <w:t xml:space="preserve">40 (3): 299–317.</w:t>
      </w:r>
      <w:r>
        <w:t xml:space="preserve"> </w:t>
      </w:r>
      <w:hyperlink r:id="rId111">
        <w:r>
          <w:rPr>
            <w:rStyle w:val="Hyperlink"/>
          </w:rPr>
          <w:t xml:space="preserve">https://remote-lib.ui.ac.id:2065/stable/27278631</w:t>
        </w:r>
      </w:hyperlink>
      <w:r>
        <w:t xml:space="preserve">.</w:t>
      </w:r>
    </w:p>
    <w:bookmarkEnd w:id="112"/>
    <w:bookmarkStart w:id="114" w:name="ref-kimura1"/>
    <w:p>
      <w:pPr>
        <w:pStyle w:val="Bibliography"/>
      </w:pPr>
      <w:r>
        <w:t xml:space="preserve">Kimura, Fukunari. 2018.</w:t>
      </w:r>
      <w:r>
        <w:t xml:space="preserve"> </w:t>
      </w:r>
      <w:r>
        <w:t xml:space="preserve">“Unbundling Regimes and Development Strategies in ASEAN: Old Issues and New Challenges.”</w:t>
      </w:r>
      <w:r>
        <w:t xml:space="preserve"> </w:t>
      </w:r>
      <w:r>
        <w:t xml:space="preserve">Journal Article.</w:t>
      </w:r>
      <w:r>
        <w:t xml:space="preserve"> </w:t>
      </w:r>
      <w:r>
        <w:rPr>
          <w:iCs/>
          <w:i/>
        </w:rPr>
        <w:t xml:space="preserve">Southeast Asian Economies</w:t>
      </w:r>
      <w:r>
        <w:t xml:space="preserve"> </w:t>
      </w:r>
      <w:r>
        <w:t xml:space="preserve">35 (1): 13–21.</w:t>
      </w:r>
      <w:r>
        <w:t xml:space="preserve"> </w:t>
      </w:r>
      <w:hyperlink r:id="rId113">
        <w:r>
          <w:rPr>
            <w:rStyle w:val="Hyperlink"/>
          </w:rPr>
          <w:t xml:space="preserve">https://doi.org/10.1355/ae35-1c</w:t>
        </w:r>
      </w:hyperlink>
      <w:r>
        <w:t xml:space="preserve">.</w:t>
      </w:r>
    </w:p>
    <w:bookmarkEnd w:id="114"/>
    <w:bookmarkStart w:id="116" w:name="ref-ebops"/>
    <w:p>
      <w:pPr>
        <w:pStyle w:val="Bibliography"/>
      </w:pPr>
      <w:r>
        <w:t xml:space="preserve">Liberatore, Antonella, Rodolfo Ostolaza, Malik Bani Hani, Silvia Amiel, Maria Fernanda L’Hopital, Markie Muryawan, Vysaul Nyirongo, and Habibur Khan. 2021.</w:t>
      </w:r>
      <w:r>
        <w:t xml:space="preserve"> </w:t>
      </w:r>
      <w:r>
        <w:t xml:space="preserve">“C.6 Trade in Services Classifications.”</w:t>
      </w:r>
      <w:r>
        <w:t xml:space="preserve"> </w:t>
      </w:r>
      <w:r>
        <w:t xml:space="preserve">Report. International Monetary Fund.</w:t>
      </w:r>
      <w:r>
        <w:t xml:space="preserve"> </w:t>
      </w:r>
      <w:hyperlink r:id="rId115">
        <w:r>
          <w:rPr>
            <w:rStyle w:val="Hyperlink"/>
          </w:rPr>
          <w:t xml:space="preserve">https://www.imf.org/external/pubs/ft/bop/2021/pdf/VM2/21-05.pdf</w:t>
        </w:r>
      </w:hyperlink>
      <w:r>
        <w:t xml:space="preserve">.</w:t>
      </w:r>
    </w:p>
    <w:bookmarkEnd w:id="116"/>
    <w:bookmarkStart w:id="118" w:name="ref-batis2"/>
    <w:p>
      <w:pPr>
        <w:pStyle w:val="Bibliography"/>
      </w:pPr>
      <w:r>
        <w:t xml:space="preserve">Liberatore, Antonella, and Steen Wettstein. 2021.</w:t>
      </w:r>
      <w:r>
        <w:t xml:space="preserve"> </w:t>
      </w:r>
      <w:r>
        <w:t xml:space="preserve">“The OECD-WTO Balanced Trade in Services Database (BaTIS).”</w:t>
      </w:r>
      <w:r>
        <w:t xml:space="preserve"> </w:t>
      </w:r>
      <w:r>
        <w:t xml:space="preserve">Report. OECD/WTO.</w:t>
      </w:r>
      <w:r>
        <w:t xml:space="preserve"> </w:t>
      </w:r>
      <w:hyperlink r:id="rId117">
        <w:r>
          <w:rPr>
            <w:rStyle w:val="Hyperlink"/>
          </w:rPr>
          <w:t xml:space="preserve">https://www.oecd.org/content/dam/oecd/en/data/methods/OECD-WTO-Balanced-Trade-in-Services-database-methodology-BPM6.pdf</w:t>
        </w:r>
      </w:hyperlink>
      <w:r>
        <w:t xml:space="preserve">.</w:t>
      </w:r>
    </w:p>
    <w:bookmarkEnd w:id="118"/>
    <w:bookmarkStart w:id="120" w:name="ref-lindblad"/>
    <w:p>
      <w:pPr>
        <w:pStyle w:val="Bibliography"/>
      </w:pPr>
      <w:r>
        <w:t xml:space="preserve">Lindblad, J. Thomas. 2015.</w:t>
      </w:r>
      <w:r>
        <w:t xml:space="preserve"> </w:t>
      </w:r>
      <w:r>
        <w:t xml:space="preserve">“Foreign Direct Investment in Indonesia: Fifty Years of Discourse.”</w:t>
      </w:r>
      <w:r>
        <w:t xml:space="preserve"> </w:t>
      </w:r>
      <w:r>
        <w:t xml:space="preserve">Journal Article.</w:t>
      </w:r>
      <w:r>
        <w:t xml:space="preserve"> </w:t>
      </w:r>
      <w:r>
        <w:rPr>
          <w:iCs/>
          <w:i/>
        </w:rPr>
        <w:t xml:space="preserve">Bulletin of Indonesian Economic Studies</w:t>
      </w:r>
      <w:r>
        <w:t xml:space="preserve"> </w:t>
      </w:r>
      <w:r>
        <w:t xml:space="preserve">51 (2): 217–37.</w:t>
      </w:r>
      <w:r>
        <w:t xml:space="preserve"> </w:t>
      </w:r>
      <w:hyperlink r:id="rId119">
        <w:r>
          <w:rPr>
            <w:rStyle w:val="Hyperlink"/>
          </w:rPr>
          <w:t xml:space="preserve">https://doi.org/10.1080/00074918.2015.1061913</w:t>
        </w:r>
      </w:hyperlink>
      <w:r>
        <w:t xml:space="preserve">.</w:t>
      </w:r>
    </w:p>
    <w:bookmarkEnd w:id="120"/>
    <w:bookmarkStart w:id="122" w:name="ref-lodefalk"/>
    <w:p>
      <w:pPr>
        <w:pStyle w:val="Bibliography"/>
      </w:pPr>
      <w:r>
        <w:t xml:space="preserve">Lodefalk, Magnus. 2014.</w:t>
      </w:r>
      <w:r>
        <w:t xml:space="preserve"> </w:t>
      </w:r>
      <w:r>
        <w:t xml:space="preserve">“The Role of Services for Manufacturing Firm Exports.”</w:t>
      </w:r>
      <w:r>
        <w:t xml:space="preserve"> </w:t>
      </w:r>
      <w:r>
        <w:t xml:space="preserve">Journal Article.</w:t>
      </w:r>
      <w:r>
        <w:t xml:space="preserve"> </w:t>
      </w:r>
      <w:r>
        <w:rPr>
          <w:iCs/>
          <w:i/>
        </w:rPr>
        <w:t xml:space="preserve">Review of World Economics / Weltwirtschaftliches Archiv</w:t>
      </w:r>
      <w:r>
        <w:t xml:space="preserve"> </w:t>
      </w:r>
      <w:r>
        <w:t xml:space="preserve">150 (1): 59–82.</w:t>
      </w:r>
      <w:r>
        <w:t xml:space="preserve"> </w:t>
      </w:r>
      <w:hyperlink r:id="rId121">
        <w:r>
          <w:rPr>
            <w:rStyle w:val="Hyperlink"/>
          </w:rPr>
          <w:t xml:space="preserve">http://remote-lib.ui.ac.id:2063/stable/44211761</w:t>
        </w:r>
      </w:hyperlink>
      <w:r>
        <w:t xml:space="preserve">.</w:t>
      </w:r>
    </w:p>
    <w:bookmarkEnd w:id="122"/>
    <w:bookmarkStart w:id="123" w:name="ref-magiera"/>
    <w:p>
      <w:pPr>
        <w:pStyle w:val="Bibliography"/>
      </w:pPr>
      <w:r>
        <w:t xml:space="preserve">Magiera, Stephen. 2011.</w:t>
      </w:r>
      <w:r>
        <w:t xml:space="preserve"> </w:t>
      </w:r>
      <w:r>
        <w:t xml:space="preserve">“Indonesia’s Investment Negative List: An Evaluation for Selected Services Sectors.”</w:t>
      </w:r>
      <w:r>
        <w:t xml:space="preserve"> </w:t>
      </w:r>
      <w:r>
        <w:t xml:space="preserve">Journal Article.</w:t>
      </w:r>
      <w:r>
        <w:t xml:space="preserve"> </w:t>
      </w:r>
      <w:r>
        <w:rPr>
          <w:iCs/>
          <w:i/>
        </w:rPr>
        <w:t xml:space="preserve">Bulletin of Indonesian Economic Studies</w:t>
      </w:r>
      <w:r>
        <w:t xml:space="preserve"> </w:t>
      </w:r>
      <w:r>
        <w:t xml:space="preserve">47 (2): 195–219.</w:t>
      </w:r>
    </w:p>
    <w:bookmarkEnd w:id="123"/>
    <w:bookmarkStart w:id="125" w:name="ref-melitz"/>
    <w:p>
      <w:pPr>
        <w:pStyle w:val="Bibliography"/>
      </w:pPr>
      <w:r>
        <w:t xml:space="preserve">Melitz, Marc J. 2003.</w:t>
      </w:r>
      <w:r>
        <w:t xml:space="preserve"> </w:t>
      </w:r>
      <w:r>
        <w:t xml:space="preserve">“The Impact of Trade on Intra-Industry Reallocations and Aggregate Industry Productivity.”</w:t>
      </w:r>
      <w:r>
        <w:t xml:space="preserve"> </w:t>
      </w:r>
      <w:r>
        <w:t xml:space="preserve">Journal Article.</w:t>
      </w:r>
      <w:r>
        <w:t xml:space="preserve"> </w:t>
      </w:r>
      <w:r>
        <w:rPr>
          <w:iCs/>
          <w:i/>
        </w:rPr>
        <w:t xml:space="preserve">Econometrica</w:t>
      </w:r>
      <w:r>
        <w:t xml:space="preserve"> </w:t>
      </w:r>
      <w:r>
        <w:t xml:space="preserve">71 (6): 1695–725.</w:t>
      </w:r>
      <w:r>
        <w:t xml:space="preserve"> </w:t>
      </w:r>
      <w:hyperlink r:id="rId124">
        <w:r>
          <w:rPr>
            <w:rStyle w:val="Hyperlink"/>
          </w:rPr>
          <w:t xml:space="preserve">https://doi.org/10.1111/1468-0262.00467</w:t>
        </w:r>
      </w:hyperlink>
      <w:r>
        <w:t xml:space="preserve">.</w:t>
      </w:r>
    </w:p>
    <w:bookmarkEnd w:id="125"/>
    <w:bookmarkStart w:id="127" w:name="ref-ardl"/>
    <w:p>
      <w:pPr>
        <w:pStyle w:val="Bibliography"/>
      </w:pPr>
      <w:r>
        <w:t xml:space="preserve">Natsiopoulos, Kleanthis, and TNickolaos G Tzeremes. 2022.</w:t>
      </w:r>
      <w:r>
        <w:t xml:space="preserve"> </w:t>
      </w:r>
      <w:r>
        <w:t xml:space="preserve">“ARDL Bounds Test for Countegration: Replicating the Pesaran Et Al. (2001) Results for the UK Earnings Equation Using r.”</w:t>
      </w:r>
      <w:r>
        <w:t xml:space="preserve"> </w:t>
      </w:r>
      <w:r>
        <w:t xml:space="preserve">Journal Article.</w:t>
      </w:r>
      <w:r>
        <w:t xml:space="preserve"> </w:t>
      </w:r>
      <w:r>
        <w:rPr>
          <w:iCs/>
          <w:i/>
        </w:rPr>
        <w:t xml:space="preserve">Journal of Applied Econometrics</w:t>
      </w:r>
      <w:r>
        <w:t xml:space="preserve"> </w:t>
      </w:r>
      <w:r>
        <w:t xml:space="preserve">37 (5): 22.</w:t>
      </w:r>
      <w:r>
        <w:t xml:space="preserve"> </w:t>
      </w:r>
      <w:hyperlink r:id="rId126">
        <w:r>
          <w:rPr>
            <w:rStyle w:val="Hyperlink"/>
          </w:rPr>
          <w:t xml:space="preserve">https://doi.org/doi.org/10.1002/jae.2919</w:t>
        </w:r>
      </w:hyperlink>
      <w:r>
        <w:t xml:space="preserve">.</w:t>
      </w:r>
    </w:p>
    <w:bookmarkEnd w:id="127"/>
    <w:bookmarkStart w:id="129" w:name="ref-icio"/>
    <w:p>
      <w:pPr>
        <w:pStyle w:val="Bibliography"/>
      </w:pPr>
      <w:r>
        <w:t xml:space="preserve">OECD. 2023.</w:t>
      </w:r>
      <w:r>
        <w:t xml:space="preserve"> </w:t>
      </w:r>
      <w:r>
        <w:t xml:space="preserve">“OECD Inter-Country Input-Output Database.”</w:t>
      </w:r>
      <w:r>
        <w:t xml:space="preserve"> </w:t>
      </w:r>
      <w:r>
        <w:t xml:space="preserve">Dataset.</w:t>
      </w:r>
      <w:r>
        <w:t xml:space="preserve"> </w:t>
      </w:r>
      <w:hyperlink r:id="rId128">
        <w:r>
          <w:rPr>
            <w:rStyle w:val="Hyperlink"/>
          </w:rPr>
          <w:t xml:space="preserve">http://oe.cd/icio</w:t>
        </w:r>
      </w:hyperlink>
      <w:r>
        <w:t xml:space="preserve">.</w:t>
      </w:r>
    </w:p>
    <w:bookmarkEnd w:id="129"/>
    <w:bookmarkStart w:id="131" w:name="ref-aco"/>
    <w:p>
      <w:pPr>
        <w:pStyle w:val="Bibliography"/>
      </w:pPr>
      <w:r>
        <w:t xml:space="preserve">Patunru, Arianto A. 2023.</w:t>
      </w:r>
      <w:r>
        <w:t xml:space="preserve"> </w:t>
      </w:r>
      <w:r>
        <w:t xml:space="preserve">“Trade Policy in Indonesia: Between Ambivalence, Pragmatism and Nationalism.”</w:t>
      </w:r>
      <w:r>
        <w:t xml:space="preserve"> </w:t>
      </w:r>
      <w:r>
        <w:t xml:space="preserve">Journal Article.</w:t>
      </w:r>
      <w:r>
        <w:t xml:space="preserve"> </w:t>
      </w:r>
      <w:r>
        <w:rPr>
          <w:iCs/>
          <w:i/>
        </w:rPr>
        <w:t xml:space="preserve">Bulletin of Indonesian Economic Studies</w:t>
      </w:r>
      <w:r>
        <w:t xml:space="preserve"> </w:t>
      </w:r>
      <w:r>
        <w:t xml:space="preserve">59 (3): 311–40.</w:t>
      </w:r>
      <w:r>
        <w:t xml:space="preserve"> </w:t>
      </w:r>
      <w:hyperlink r:id="rId130">
        <w:r>
          <w:rPr>
            <w:rStyle w:val="Hyperlink"/>
          </w:rPr>
          <w:t xml:space="preserve">https://doi.org/10.1080/00074918.2023.2282821</w:t>
        </w:r>
      </w:hyperlink>
      <w:r>
        <w:t xml:space="preserve">.</w:t>
      </w:r>
    </w:p>
    <w:bookmarkEnd w:id="131"/>
    <w:bookmarkStart w:id="133" w:name="ref-pesaran"/>
    <w:p>
      <w:pPr>
        <w:pStyle w:val="Bibliography"/>
      </w:pPr>
      <w:r>
        <w:t xml:space="preserve">Pesaran, M. Hashem, and Ron Smith. 1995.</w:t>
      </w:r>
      <w:r>
        <w:t xml:space="preserve"> </w:t>
      </w:r>
      <w:r>
        <w:t xml:space="preserve">“Estimating Long-Run Relationships from Dynamic Heterogeneous Panels.”</w:t>
      </w:r>
      <w:r>
        <w:t xml:space="preserve"> </w:t>
      </w:r>
      <w:r>
        <w:t xml:space="preserve">Journal Article.</w:t>
      </w:r>
      <w:r>
        <w:t xml:space="preserve"> </w:t>
      </w:r>
      <w:r>
        <w:rPr>
          <w:iCs/>
          <w:i/>
        </w:rPr>
        <w:t xml:space="preserve">Journal of Econometrics</w:t>
      </w:r>
      <w:r>
        <w:t xml:space="preserve"> </w:t>
      </w:r>
      <w:r>
        <w:t xml:space="preserve">68 (1): 79–113. https://doi.org/</w:t>
      </w:r>
      <w:hyperlink r:id="rId132">
        <w:r>
          <w:rPr>
            <w:rStyle w:val="Hyperlink"/>
          </w:rPr>
          <w:t xml:space="preserve">https://doi.org/10.1016/0304-4076(94)01644-F</w:t>
        </w:r>
      </w:hyperlink>
      <w:r>
        <w:t xml:space="preserve">.</w:t>
      </w:r>
    </w:p>
    <w:bookmarkEnd w:id="133"/>
    <w:bookmarkStart w:id="135" w:name="ref-krisna"/>
    <w:p>
      <w:pPr>
        <w:pStyle w:val="Bibliography"/>
      </w:pPr>
      <w:r>
        <w:t xml:space="preserve">Syahputri, Evanti Andriani, and Krisna Gupta. 2024.</w:t>
      </w:r>
      <w:r>
        <w:t xml:space="preserve"> </w:t>
      </w:r>
      <w:r>
        <w:t xml:space="preserve">“Analysis of the Effect of Indonesia-Japan Economic Partnership Agreement (IJEPA) on the Trade in Service Sector in Indonesia.”</w:t>
      </w:r>
      <w:r>
        <w:t xml:space="preserve"> </w:t>
      </w:r>
      <w:r>
        <w:t xml:space="preserve">Journal Article.</w:t>
      </w:r>
      <w:r>
        <w:t xml:space="preserve"> </w:t>
      </w:r>
      <w:r>
        <w:rPr>
          <w:iCs/>
          <w:i/>
        </w:rPr>
        <w:t xml:space="preserve">Jurnal Manajemen Industri Dan Logistik</w:t>
      </w:r>
      <w:r>
        <w:t xml:space="preserve"> </w:t>
      </w:r>
      <w:r>
        <w:t xml:space="preserve">8 (1).</w:t>
      </w:r>
      <w:r>
        <w:t xml:space="preserve"> </w:t>
      </w:r>
      <w:hyperlink r:id="rId134">
        <w:r>
          <w:rPr>
            <w:rStyle w:val="Hyperlink"/>
          </w:rPr>
          <w:t xml:space="preserve">https://doi.org/10.30988/jmil.v8i1.1356</w:t>
        </w:r>
      </w:hyperlink>
      <w:r>
        <w:t xml:space="preserve">.</w:t>
      </w:r>
    </w:p>
    <w:bookmarkEnd w:id="135"/>
    <w:bookmarkStart w:id="137" w:name="ref-batis1"/>
    <w:p>
      <w:pPr>
        <w:pStyle w:val="Bibliography"/>
      </w:pPr>
      <w:r>
        <w:t xml:space="preserve">WTO/OECD. 2022.</w:t>
      </w:r>
      <w:r>
        <w:t xml:space="preserve"> </w:t>
      </w:r>
      <w:r>
        <w:t xml:space="preserve">“OECD-WTO: Balanced International Trade in Services - EBOPS 2002 (Edition 2021).”</w:t>
      </w:r>
      <w:r>
        <w:t xml:space="preserve"> </w:t>
      </w:r>
      <w:r>
        <w:t xml:space="preserve">Dataset. OECD Statistics on International Trade in Services (database).</w:t>
      </w:r>
      <w:r>
        <w:t xml:space="preserve"> </w:t>
      </w:r>
      <w:hyperlink r:id="rId136">
        <w:r>
          <w:rPr>
            <w:rStyle w:val="Hyperlink"/>
          </w:rPr>
          <w:t xml:space="preserve">https://doi.org/10.1787/54a469fc-en</w:t>
        </w:r>
      </w:hyperlink>
      <w:r>
        <w:t xml:space="preserve">.</w:t>
      </w:r>
    </w:p>
    <w:bookmarkEnd w:id="137"/>
    <w:bookmarkEnd w:id="138"/>
    <w:bookmarkEnd w:id="13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7" Target="media/rId57.png" /><Relationship Type="http://schemas.openxmlformats.org/officeDocument/2006/relationships/image" Id="rId74" Target="media/rId74.png" /><Relationship Type="http://schemas.openxmlformats.org/officeDocument/2006/relationships/image" Id="rId61" Target="media/rId61.png" /><Relationship Type="http://schemas.openxmlformats.org/officeDocument/2006/relationships/image" Id="rId78" Target="media/rId78.png" /><Relationship Type="http://schemas.openxmlformats.org/officeDocument/2006/relationships/image" Id="rId65" Target="media/rId65.png" /><Relationship Type="http://schemas.openxmlformats.org/officeDocument/2006/relationships/image" Id="rId82" Target="media/rId82.png" /><Relationship Type="http://schemas.openxmlformats.org/officeDocument/2006/relationships/image" Id="rId69" Target="media/rId69.png" /><Relationship Type="http://schemas.openxmlformats.org/officeDocument/2006/relationships/image" Id="rId86" Target="media/rId86.png" /><Relationship Type="http://schemas.openxmlformats.org/officeDocument/2006/relationships/image" Id="rId44" Target="media/rId44.png" /><Relationship Type="http://schemas.openxmlformats.org/officeDocument/2006/relationships/image" Id="rId40" Target="media/rId40.png" /><Relationship Type="http://schemas.openxmlformats.org/officeDocument/2006/relationships/image" Id="rId52" Target="media/rId52.png" /><Relationship Type="http://schemas.openxmlformats.org/officeDocument/2006/relationships/image" Id="rId48" Target="media/rId48.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95" Target="media/rId95.png" /><Relationship Type="http://schemas.openxmlformats.org/officeDocument/2006/relationships/hyperlink" Id="rId128" Target="http://oe.cd/icio" TargetMode="External" /><Relationship Type="http://schemas.openxmlformats.org/officeDocument/2006/relationships/hyperlink" Id="rId121" Target="http://remote-lib.ui.ac.id:2063/stable/44211761" TargetMode="External" /><Relationship Type="http://schemas.openxmlformats.org/officeDocument/2006/relationships/hyperlink" Id="rId132" Target="https://doi.org/10.1016/0304-4076(94)01644-F" TargetMode="External" /><Relationship Type="http://schemas.openxmlformats.org/officeDocument/2006/relationships/hyperlink" Id="rId119" Target="https://doi.org/10.1080/00074918.2015.1061913" TargetMode="External" /><Relationship Type="http://schemas.openxmlformats.org/officeDocument/2006/relationships/hyperlink" Id="rId105" Target="https://doi.org/10.1080/00074918.2022.2134554" TargetMode="External" /><Relationship Type="http://schemas.openxmlformats.org/officeDocument/2006/relationships/hyperlink" Id="rId130" Target="https://doi.org/10.1080/00074918.2023.2282821" TargetMode="External" /><Relationship Type="http://schemas.openxmlformats.org/officeDocument/2006/relationships/hyperlink" Id="rId124" Target="https://doi.org/10.1111/1468-0262.00467" TargetMode="External" /><Relationship Type="http://schemas.openxmlformats.org/officeDocument/2006/relationships/hyperlink" Id="rId113" Target="https://doi.org/10.1355/ae35-1c" TargetMode="External" /><Relationship Type="http://schemas.openxmlformats.org/officeDocument/2006/relationships/hyperlink" Id="rId136" Target="https://doi.org/10.1787/54a469fc-en" TargetMode="External" /><Relationship Type="http://schemas.openxmlformats.org/officeDocument/2006/relationships/hyperlink" Id="rId134" Target="https://doi.org/10.30988/jmil.v8i1.1356" TargetMode="External" /><Relationship Type="http://schemas.openxmlformats.org/officeDocument/2006/relationships/hyperlink" Id="rId126" Target="https://doi.org/doi.org/10.1002/jae.2919" TargetMode="External" /><Relationship Type="http://schemas.openxmlformats.org/officeDocument/2006/relationships/hyperlink" Id="rId23" Target="https://github.com/imedkrisna/ERIA_services" TargetMode="External" /><Relationship Type="http://schemas.openxmlformats.org/officeDocument/2006/relationships/hyperlink" Id="rId111" Target="https://remote-lib.ui.ac.id:2065/stable/27278631" TargetMode="External" /><Relationship Type="http://schemas.openxmlformats.org/officeDocument/2006/relationships/hyperlink" Id="rId109" Target="https://www.bi.go.id/id/statistik/ekonomi-keuangan/seki/Default.aspx#headingFour" TargetMode="External" /><Relationship Type="http://schemas.openxmlformats.org/officeDocument/2006/relationships/hyperlink" Id="rId115" Target="https://www.imf.org/external/pubs/ft/bop/2021/pdf/VM2/21-05.pdf" TargetMode="External" /><Relationship Type="http://schemas.openxmlformats.org/officeDocument/2006/relationships/hyperlink" Id="rId117" Target="https://www.oecd.org/content/dam/oecd/en/data/methods/OECD-WTO-Balanced-Trade-in-Services-database-methodology-BPM6.pdf" TargetMode="External" /></Relationships>
</file>

<file path=word/_rels/footnotes.xml.rels><?xml version="1.0" encoding="UTF-8"?><Relationships xmlns="http://schemas.openxmlformats.org/package/2006/relationships"><Relationship Type="http://schemas.openxmlformats.org/officeDocument/2006/relationships/hyperlink" Id="rId128" Target="http://oe.cd/icio" TargetMode="External" /><Relationship Type="http://schemas.openxmlformats.org/officeDocument/2006/relationships/hyperlink" Id="rId121" Target="http://remote-lib.ui.ac.id:2063/stable/44211761" TargetMode="External" /><Relationship Type="http://schemas.openxmlformats.org/officeDocument/2006/relationships/hyperlink" Id="rId132" Target="https://doi.org/10.1016/0304-4076(94)01644-F" TargetMode="External" /><Relationship Type="http://schemas.openxmlformats.org/officeDocument/2006/relationships/hyperlink" Id="rId119" Target="https://doi.org/10.1080/00074918.2015.1061913" TargetMode="External" /><Relationship Type="http://schemas.openxmlformats.org/officeDocument/2006/relationships/hyperlink" Id="rId105" Target="https://doi.org/10.1080/00074918.2022.2134554" TargetMode="External" /><Relationship Type="http://schemas.openxmlformats.org/officeDocument/2006/relationships/hyperlink" Id="rId130" Target="https://doi.org/10.1080/00074918.2023.2282821" TargetMode="External" /><Relationship Type="http://schemas.openxmlformats.org/officeDocument/2006/relationships/hyperlink" Id="rId124" Target="https://doi.org/10.1111/1468-0262.00467" TargetMode="External" /><Relationship Type="http://schemas.openxmlformats.org/officeDocument/2006/relationships/hyperlink" Id="rId113" Target="https://doi.org/10.1355/ae35-1c" TargetMode="External" /><Relationship Type="http://schemas.openxmlformats.org/officeDocument/2006/relationships/hyperlink" Id="rId136" Target="https://doi.org/10.1787/54a469fc-en" TargetMode="External" /><Relationship Type="http://schemas.openxmlformats.org/officeDocument/2006/relationships/hyperlink" Id="rId134" Target="https://doi.org/10.30988/jmil.v8i1.1356" TargetMode="External" /><Relationship Type="http://schemas.openxmlformats.org/officeDocument/2006/relationships/hyperlink" Id="rId126" Target="https://doi.org/doi.org/10.1002/jae.2919" TargetMode="External" /><Relationship Type="http://schemas.openxmlformats.org/officeDocument/2006/relationships/hyperlink" Id="rId23" Target="https://github.com/imedkrisna/ERIA_services" TargetMode="External" /><Relationship Type="http://schemas.openxmlformats.org/officeDocument/2006/relationships/hyperlink" Id="rId111" Target="https://remote-lib.ui.ac.id:2065/stable/27278631" TargetMode="External" /><Relationship Type="http://schemas.openxmlformats.org/officeDocument/2006/relationships/hyperlink" Id="rId109" Target="https://www.bi.go.id/id/statistik/ekonomi-keuangan/seki/Default.aspx#headingFour" TargetMode="External" /><Relationship Type="http://schemas.openxmlformats.org/officeDocument/2006/relationships/hyperlink" Id="rId115" Target="https://www.imf.org/external/pubs/ft/bop/2021/pdf/VM2/21-05.pdf" TargetMode="External" /><Relationship Type="http://schemas.openxmlformats.org/officeDocument/2006/relationships/hyperlink" Id="rId117" Target="https://www.oecd.org/content/dam/oecd/en/data/methods/OECD-WTO-Balanced-Trade-in-Services-database-methodology-BPM6.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trade and the Indonesian third unbundling</dc:title>
  <dc:creator>Krisna Gupta; Dhany S. Ratana</dc:creator>
  <cp:keywords/>
  <dcterms:created xsi:type="dcterms:W3CDTF">2024-07-24T10:31:02Z</dcterms:created>
  <dcterms:modified xsi:type="dcterms:W3CDTF">2024-07-24T10:31:02Z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bstract-title">
    <vt:lpwstr>abstract</vt:lpwstr>
  </property>
  <property fmtid="{D5CDD505-2E9C-101B-9397-08002B2CF9AE}" pid="4" name="affiliations">
    <vt:lpwstr/>
  </property>
  <property fmtid="{D5CDD505-2E9C-101B-9397-08002B2CF9AE}" pid="5" name="authors">
    <vt:lpwstr/>
  </property>
  <property fmtid="{D5CDD505-2E9C-101B-9397-08002B2CF9AE}" pid="6" name="biblio-config">
    <vt:lpwstr>True</vt:lpwstr>
  </property>
  <property fmtid="{D5CDD505-2E9C-101B-9397-08002B2CF9AE}" pid="7" name="bibliography">
    <vt:lpwstr>ref.bib</vt:lpwstr>
  </property>
  <property fmtid="{D5CDD505-2E9C-101B-9397-08002B2CF9AE}" pid="8" name="by-affiliation">
    <vt:lpwstr/>
  </property>
  <property fmtid="{D5CDD505-2E9C-101B-9397-08002B2CF9AE}" pid="9" name="by-author">
    <vt:lpwstr/>
  </property>
  <property fmtid="{D5CDD505-2E9C-101B-9397-08002B2CF9AE}" pid="10" name="date">
    <vt:lpwstr>July 17, 2024</vt:lpwstr>
  </property>
  <property fmtid="{D5CDD505-2E9C-101B-9397-08002B2CF9AE}" pid="11" name="date-format">
    <vt:lpwstr>long</vt:lpwstr>
  </property>
  <property fmtid="{D5CDD505-2E9C-101B-9397-08002B2CF9AE}" pid="12" name="execute">
    <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toc-title">
    <vt:lpwstr>Table of contents</vt:lpwstr>
  </property>
</Properties>
</file>